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55A6" w:rsidR="006077F7" w:rsidP="008A483F" w:rsidRDefault="00AF62C1" w14:paraId="536960C8" w14:textId="5D56B799">
      <w:pPr>
        <w:pStyle w:val="Headline"/>
      </w:pPr>
      <w:r w:rsidRPr="00C64CA6">
        <w:t xml:space="preserve">CBRE Shopping Centre Index a dva </w:t>
      </w:r>
      <w:r w:rsidRPr="00C64CA6" w:rsidR="00E41CC0">
        <w:t>související</w:t>
      </w:r>
      <w:r w:rsidRPr="00C64CA6">
        <w:t xml:space="preserve"> průzkumy odhalují současnou kondici tuzemského maloobchodu</w:t>
      </w:r>
      <w:r w:rsidR="00155B0A">
        <w:br/>
      </w:r>
    </w:p>
    <w:p w:rsidRPr="000D55A6" w:rsidR="02C1C5E2" w:rsidP="02C1C5E2" w:rsidRDefault="00620EF8" w14:paraId="5DE4D1F2" w14:textId="453467AC">
      <w:pPr>
        <w:pStyle w:val="Headline"/>
        <w:numPr>
          <w:ilvl w:val="0"/>
          <w:numId w:val="1"/>
        </w:numPr>
        <w:rPr>
          <w:rFonts w:asciiTheme="minorHAnsi" w:hAnsiTheme="minorHAnsi" w:eastAsiaTheme="minorEastAsia" w:cstheme="minorBidi"/>
          <w:color w:val="425153"/>
          <w:sz w:val="21"/>
          <w:szCs w:val="21"/>
        </w:rPr>
      </w:pPr>
      <w:r w:rsidRPr="000D55A6">
        <w:rPr>
          <w:i/>
          <w:iCs/>
          <w:color w:val="425153"/>
          <w:sz w:val="21"/>
          <w:szCs w:val="21"/>
        </w:rPr>
        <w:t xml:space="preserve">Návštěvnost </w:t>
      </w:r>
      <w:r w:rsidRPr="000D55A6" w:rsidR="00E41CC0">
        <w:rPr>
          <w:i/>
          <w:iCs/>
          <w:color w:val="425153"/>
          <w:sz w:val="21"/>
          <w:szCs w:val="21"/>
        </w:rPr>
        <w:t xml:space="preserve">regionálních </w:t>
      </w:r>
      <w:r w:rsidRPr="000D55A6" w:rsidR="00AF62C1">
        <w:rPr>
          <w:i/>
          <w:iCs/>
          <w:color w:val="425153"/>
          <w:sz w:val="21"/>
          <w:szCs w:val="21"/>
        </w:rPr>
        <w:t xml:space="preserve">OC </w:t>
      </w:r>
      <w:r w:rsidRPr="000D55A6" w:rsidR="00AC718C">
        <w:rPr>
          <w:i/>
          <w:iCs/>
          <w:color w:val="425153"/>
          <w:sz w:val="21"/>
          <w:szCs w:val="21"/>
        </w:rPr>
        <w:t xml:space="preserve">vloni </w:t>
      </w:r>
      <w:r w:rsidRPr="000D55A6">
        <w:rPr>
          <w:i/>
          <w:iCs/>
          <w:color w:val="425153"/>
          <w:sz w:val="21"/>
          <w:szCs w:val="21"/>
        </w:rPr>
        <w:t>meziročně vzrostla o 23,5</w:t>
      </w:r>
      <w:r w:rsidRPr="000D55A6" w:rsidR="00D1226E">
        <w:rPr>
          <w:i/>
          <w:iCs/>
          <w:color w:val="425153"/>
          <w:sz w:val="21"/>
          <w:szCs w:val="21"/>
        </w:rPr>
        <w:t xml:space="preserve"> %</w:t>
      </w:r>
    </w:p>
    <w:p w:rsidRPr="000D55A6" w:rsidR="00AF62C1" w:rsidP="02C1C5E2" w:rsidRDefault="00AF62C1" w14:paraId="2537D449" w14:textId="067A0A21">
      <w:pPr>
        <w:pStyle w:val="Headline"/>
        <w:numPr>
          <w:ilvl w:val="0"/>
          <w:numId w:val="1"/>
        </w:numPr>
        <w:rPr>
          <w:color w:val="425153"/>
          <w:sz w:val="21"/>
          <w:szCs w:val="21"/>
        </w:rPr>
      </w:pPr>
      <w:r w:rsidRPr="000D55A6">
        <w:rPr>
          <w:i/>
          <w:iCs/>
          <w:color w:val="425153"/>
          <w:sz w:val="21"/>
          <w:szCs w:val="21"/>
        </w:rPr>
        <w:t>Dynamika vývoje průměrného nákupního koše zpomalila. I přesto došlo k meziročnímu nárůstu o 5,9 %</w:t>
      </w:r>
      <w:r w:rsidRPr="000D55A6" w:rsidR="00697E65">
        <w:rPr>
          <w:i/>
          <w:iCs/>
          <w:color w:val="425153"/>
          <w:sz w:val="21"/>
          <w:szCs w:val="21"/>
        </w:rPr>
        <w:t xml:space="preserve"> </w:t>
      </w:r>
    </w:p>
    <w:p w:rsidRPr="000D55A6" w:rsidR="02C1C5E2" w:rsidP="02C1C5E2" w:rsidRDefault="003E3C2F" w14:paraId="327AFFB5" w14:textId="040A6960">
      <w:pPr>
        <w:pStyle w:val="Headline"/>
        <w:numPr>
          <w:ilvl w:val="0"/>
          <w:numId w:val="1"/>
        </w:numPr>
        <w:rPr>
          <w:color w:val="425153"/>
          <w:sz w:val="21"/>
          <w:szCs w:val="21"/>
        </w:rPr>
      </w:pPr>
      <w:r w:rsidRPr="000D55A6">
        <w:rPr>
          <w:i/>
          <w:iCs/>
          <w:color w:val="425153"/>
          <w:sz w:val="21"/>
          <w:szCs w:val="21"/>
        </w:rPr>
        <w:t>Obraty zaznamenaly významný růst, a to jak meziročně (+31,5 %), tak v porovnání s rokem 2019 (+11,1 %)</w:t>
      </w:r>
    </w:p>
    <w:p w:rsidRPr="000D55A6" w:rsidR="02C1C5E2" w:rsidP="02C1C5E2" w:rsidRDefault="003E3C2F" w14:paraId="59BD79C0" w14:textId="05E38C6A">
      <w:pPr>
        <w:pStyle w:val="Headline"/>
        <w:numPr>
          <w:ilvl w:val="0"/>
          <w:numId w:val="1"/>
        </w:numPr>
        <w:rPr>
          <w:color w:val="425153"/>
          <w:sz w:val="21"/>
          <w:szCs w:val="21"/>
        </w:rPr>
      </w:pPr>
      <w:r w:rsidRPr="000D55A6">
        <w:rPr>
          <w:i/>
          <w:iCs/>
          <w:color w:val="425153"/>
          <w:sz w:val="21"/>
          <w:szCs w:val="21"/>
        </w:rPr>
        <w:t>Míra neobsazenosti nepatrně poklesla z 4,4 % v roce 2021 na 4,1 % v roce 2022</w:t>
      </w:r>
    </w:p>
    <w:p w:rsidRPr="000D55A6" w:rsidR="008A3BF8" w:rsidP="008A3BF8" w:rsidRDefault="008A3BF8" w14:paraId="57564B1E" w14:textId="498992DC">
      <w:pPr>
        <w:pStyle w:val="Headline"/>
        <w:numPr>
          <w:ilvl w:val="0"/>
          <w:numId w:val="1"/>
        </w:numPr>
        <w:rPr>
          <w:color w:val="425153"/>
          <w:sz w:val="21"/>
          <w:szCs w:val="21"/>
        </w:rPr>
      </w:pPr>
      <w:r w:rsidRPr="000D55A6">
        <w:rPr>
          <w:i/>
          <w:iCs/>
          <w:color w:val="425153"/>
          <w:sz w:val="21"/>
          <w:szCs w:val="21"/>
        </w:rPr>
        <w:t xml:space="preserve">Nájemné </w:t>
      </w:r>
      <w:r w:rsidRPr="000D55A6" w:rsidR="003E3C2F">
        <w:rPr>
          <w:i/>
          <w:iCs/>
          <w:color w:val="425153"/>
          <w:sz w:val="21"/>
          <w:szCs w:val="21"/>
        </w:rPr>
        <w:t>meziročně vzrostlo o 4,9 %</w:t>
      </w:r>
    </w:p>
    <w:p w:rsidRPr="000D55A6" w:rsidR="02C1C5E2" w:rsidP="02C1C5E2" w:rsidRDefault="02C1C5E2" w14:paraId="7EE08514" w14:textId="1740AB53">
      <w:pPr>
        <w:pStyle w:val="Headline"/>
        <w:rPr>
          <w:color w:val="425153"/>
        </w:rPr>
      </w:pPr>
    </w:p>
    <w:p w:rsidRPr="000D55A6" w:rsidR="00F1014E" w:rsidP="00784D2C" w:rsidRDefault="065FC1AA" w14:paraId="22E28C40" w14:textId="4AAD5A74">
      <w:pPr>
        <w:pStyle w:val="BodyCopy"/>
        <w:jc w:val="both"/>
      </w:pPr>
      <w:r w:rsidRPr="7E0C5FA1" w:rsidR="065FC1AA">
        <w:rPr>
          <w:b w:val="1"/>
          <w:bCs w:val="1"/>
        </w:rPr>
        <w:t>Praha –</w:t>
      </w:r>
      <w:r w:rsidRPr="7E0C5FA1" w:rsidR="2FE8DF6A">
        <w:rPr>
          <w:b w:val="1"/>
          <w:bCs w:val="1"/>
        </w:rPr>
        <w:t xml:space="preserve"> </w:t>
      </w:r>
      <w:r w:rsidRPr="7E0C5FA1" w:rsidR="00DA6F44">
        <w:rPr>
          <w:b w:val="1"/>
          <w:bCs w:val="1"/>
        </w:rPr>
        <w:t>1</w:t>
      </w:r>
      <w:r w:rsidRPr="7E0C5FA1" w:rsidR="3FE55DA6">
        <w:rPr>
          <w:b w:val="1"/>
          <w:bCs w:val="1"/>
        </w:rPr>
        <w:t xml:space="preserve">. </w:t>
      </w:r>
      <w:r w:rsidRPr="7E0C5FA1" w:rsidR="7CA79AFA">
        <w:rPr>
          <w:b w:val="1"/>
          <w:bCs w:val="1"/>
        </w:rPr>
        <w:t>červn</w:t>
      </w:r>
      <w:r w:rsidRPr="7E0C5FA1" w:rsidR="40FE492D">
        <w:rPr>
          <w:b w:val="1"/>
          <w:bCs w:val="1"/>
        </w:rPr>
        <w:t>a</w:t>
      </w:r>
      <w:r w:rsidRPr="7E0C5FA1" w:rsidR="34C96A6D">
        <w:rPr>
          <w:b w:val="1"/>
          <w:bCs w:val="1"/>
        </w:rPr>
        <w:t xml:space="preserve"> 202</w:t>
      </w:r>
      <w:r w:rsidRPr="7E0C5FA1" w:rsidR="00DA6F44">
        <w:rPr>
          <w:b w:val="1"/>
          <w:bCs w:val="1"/>
        </w:rPr>
        <w:t>3</w:t>
      </w:r>
      <w:r w:rsidRPr="7E0C5FA1" w:rsidR="065FC1AA">
        <w:rPr>
          <w:b w:val="1"/>
          <w:bCs w:val="1"/>
        </w:rPr>
        <w:t xml:space="preserve"> </w:t>
      </w:r>
      <w:r w:rsidR="24043D81">
        <w:rPr/>
        <w:t>–</w:t>
      </w:r>
      <w:r w:rsidR="3628CD42">
        <w:rPr/>
        <w:t xml:space="preserve"> </w:t>
      </w:r>
      <w:r w:rsidR="009A40C8">
        <w:rPr/>
        <w:t xml:space="preserve">Přestože začátkem loňského roku </w:t>
      </w:r>
      <w:r w:rsidR="00A45E38">
        <w:rPr/>
        <w:t>působila na</w:t>
      </w:r>
      <w:r w:rsidR="009A40C8">
        <w:rPr/>
        <w:t xml:space="preserve"> český maloobchodní trh ještě doznívající protipandemická opatření, očekával se brzký návrat </w:t>
      </w:r>
      <w:r w:rsidR="00F35889">
        <w:rPr/>
        <w:t>k</w:t>
      </w:r>
      <w:r w:rsidR="009A40C8">
        <w:rPr/>
        <w:t xml:space="preserve"> normálu. Nicméně válečný konflikt na</w:t>
      </w:r>
      <w:r w:rsidR="009F3317">
        <w:rPr/>
        <w:t> </w:t>
      </w:r>
      <w:r w:rsidR="009A40C8">
        <w:rPr/>
        <w:t>Ukrajině zásadně ovlivnil další ekonomický vývoj</w:t>
      </w:r>
      <w:r w:rsidR="00C81E04">
        <w:rPr/>
        <w:t>,</w:t>
      </w:r>
      <w:r w:rsidR="009A40C8">
        <w:rPr/>
        <w:t xml:space="preserve"> </w:t>
      </w:r>
      <w:r w:rsidR="00F748AB">
        <w:rPr/>
        <w:t>a</w:t>
      </w:r>
      <w:r w:rsidR="00E41CC0">
        <w:rPr/>
        <w:t xml:space="preserve"> </w:t>
      </w:r>
      <w:r w:rsidR="00686620">
        <w:rPr/>
        <w:t xml:space="preserve">to </w:t>
      </w:r>
      <w:r w:rsidR="00E41CC0">
        <w:rPr/>
        <w:t>především</w:t>
      </w:r>
      <w:r w:rsidR="009A40C8">
        <w:rPr/>
        <w:t xml:space="preserve"> </w:t>
      </w:r>
      <w:r w:rsidR="00F748AB">
        <w:rPr/>
        <w:t xml:space="preserve">v </w:t>
      </w:r>
      <w:r w:rsidR="009A40C8">
        <w:rPr/>
        <w:t>zem</w:t>
      </w:r>
      <w:r w:rsidR="00F748AB">
        <w:rPr/>
        <w:t>ích</w:t>
      </w:r>
      <w:r w:rsidR="009A40C8">
        <w:rPr/>
        <w:t xml:space="preserve"> střední Evropy včetně tuzemska. Na rychlý </w:t>
      </w:r>
      <w:r w:rsidR="00F1014E">
        <w:rPr/>
        <w:t>ná</w:t>
      </w:r>
      <w:r w:rsidR="009A40C8">
        <w:rPr/>
        <w:t xml:space="preserve">růst cen (inflace v ČR se meziročně zvýšila o 15,1 %) a nákladů </w:t>
      </w:r>
      <w:r w:rsidR="00A45E38">
        <w:rPr/>
        <w:t>n</w:t>
      </w:r>
      <w:r w:rsidR="009A40C8">
        <w:rPr/>
        <w:t xml:space="preserve">a energie reagovala dalším poklesem již </w:t>
      </w:r>
      <w:r w:rsidR="00A45E38">
        <w:rPr/>
        <w:t>oslabe</w:t>
      </w:r>
      <w:r w:rsidR="0022034E">
        <w:rPr/>
        <w:t xml:space="preserve">ná </w:t>
      </w:r>
      <w:r w:rsidR="009A40C8">
        <w:rPr/>
        <w:t xml:space="preserve">důvěra zákazníků. Jaký </w:t>
      </w:r>
      <w:r w:rsidR="00F35889">
        <w:rPr/>
        <w:t xml:space="preserve">to mělo dopad na nákupní centra </w:t>
      </w:r>
      <w:r w:rsidR="009A40C8">
        <w:rPr/>
        <w:t>v</w:t>
      </w:r>
      <w:r w:rsidR="002B390A">
        <w:rPr/>
        <w:t> </w:t>
      </w:r>
      <w:r w:rsidR="009A40C8">
        <w:rPr/>
        <w:t>České republice?</w:t>
      </w:r>
      <w:r w:rsidR="00F35889">
        <w:rPr/>
        <w:t xml:space="preserve"> A jaká v současnosti panuje na trhu nálada </w:t>
      </w:r>
      <w:r w:rsidR="00620EF8">
        <w:rPr/>
        <w:t>nejen</w:t>
      </w:r>
      <w:r w:rsidR="00F35889">
        <w:rPr/>
        <w:t xml:space="preserve"> mezi zákazníky, </w:t>
      </w:r>
      <w:r w:rsidR="00620EF8">
        <w:rPr/>
        <w:t>ale i</w:t>
      </w:r>
      <w:r w:rsidR="00F35889">
        <w:rPr/>
        <w:t xml:space="preserve"> samotným</w:t>
      </w:r>
      <w:r w:rsidR="00620EF8">
        <w:rPr/>
        <w:t>i</w:t>
      </w:r>
      <w:r w:rsidR="00F35889">
        <w:rPr/>
        <w:t xml:space="preserve"> prodejci? Odpovědi nejen na tyto otázky přináší </w:t>
      </w:r>
      <w:r w:rsidR="00620EF8">
        <w:rPr/>
        <w:t>společnost CBRE, lídr v oblasti správy a</w:t>
      </w:r>
      <w:r w:rsidR="002B390A">
        <w:rPr/>
        <w:t> </w:t>
      </w:r>
      <w:r w:rsidR="00620EF8">
        <w:rPr/>
        <w:t xml:space="preserve">pronájmu maloobchodních prostor, ve své </w:t>
      </w:r>
      <w:r w:rsidR="00F35889">
        <w:rPr/>
        <w:t>analýz</w:t>
      </w:r>
      <w:r w:rsidR="00620EF8">
        <w:rPr/>
        <w:t>e</w:t>
      </w:r>
      <w:r w:rsidR="00F35889">
        <w:rPr/>
        <w:t xml:space="preserve"> </w:t>
      </w:r>
      <w:r w:rsidR="00F1014E">
        <w:rPr/>
        <w:t>Shopping Centre Index</w:t>
      </w:r>
      <w:r w:rsidR="00620EF8">
        <w:rPr/>
        <w:t>, kterou navíc dopl</w:t>
      </w:r>
      <w:r w:rsidR="008F5860">
        <w:rPr/>
        <w:t>ňují</w:t>
      </w:r>
      <w:r w:rsidR="00620EF8">
        <w:rPr/>
        <w:t xml:space="preserve"> dva aktuální průzkumy zaměřené na vývoj zákaznického chování a očekávání na straně maloobchodníků. </w:t>
      </w:r>
    </w:p>
    <w:p w:rsidRPr="000D55A6" w:rsidR="00F1014E" w:rsidP="00784D2C" w:rsidRDefault="00F1014E" w14:paraId="5CC104FD" w14:textId="77777777">
      <w:pPr>
        <w:pStyle w:val="BodyCopy"/>
        <w:jc w:val="both"/>
      </w:pPr>
    </w:p>
    <w:p w:rsidRPr="00C64CA6" w:rsidR="00BF1578" w:rsidP="00BF1578" w:rsidRDefault="00F748AB" w14:paraId="76DE528B" w14:textId="163B33C9">
      <w:pPr>
        <w:pStyle w:val="BodyCopy"/>
        <w:jc w:val="both"/>
      </w:pPr>
      <w:r w:rsidRPr="000D55A6">
        <w:rPr>
          <w:i/>
          <w:iCs/>
        </w:rPr>
        <w:t>„</w:t>
      </w:r>
      <w:r w:rsidRPr="000D55A6" w:rsidR="00BF1578">
        <w:rPr>
          <w:i/>
          <w:iCs/>
        </w:rPr>
        <w:t>Struktura nákupních center a rozložení jednotlivých maloobchodních sektorů se i přes četné prognózy o</w:t>
      </w:r>
      <w:r w:rsidRPr="000D55A6" w:rsidR="009F3317">
        <w:rPr>
          <w:i/>
          <w:iCs/>
        </w:rPr>
        <w:t> </w:t>
      </w:r>
      <w:r w:rsidRPr="000D55A6" w:rsidR="00BF1578">
        <w:rPr>
          <w:i/>
          <w:iCs/>
        </w:rPr>
        <w:t>zásadní restrukturalizaci maloobchodu po pandemii</w:t>
      </w:r>
      <w:r w:rsidRPr="000D55A6" w:rsidR="00BF1578">
        <w:rPr>
          <w:i/>
        </w:rPr>
        <w:t xml:space="preserve"> </w:t>
      </w:r>
      <w:r w:rsidR="00C81E04">
        <w:rPr>
          <w:i/>
          <w:iCs/>
        </w:rPr>
        <w:t>c</w:t>
      </w:r>
      <w:r w:rsidRPr="000D55A6" w:rsidR="008D12E2">
        <w:rPr>
          <w:i/>
          <w:iCs/>
        </w:rPr>
        <w:t>ovid</w:t>
      </w:r>
      <w:r w:rsidR="00C81E04">
        <w:rPr>
          <w:i/>
          <w:iCs/>
        </w:rPr>
        <w:t>u</w:t>
      </w:r>
      <w:r w:rsidRPr="000D55A6" w:rsidR="008D12E2">
        <w:rPr>
          <w:i/>
          <w:iCs/>
        </w:rPr>
        <w:t>-19</w:t>
      </w:r>
      <w:r w:rsidRPr="000D55A6" w:rsidR="00BF1578">
        <w:rPr>
          <w:i/>
          <w:iCs/>
        </w:rPr>
        <w:t xml:space="preserve"> nikterak nezměnila</w:t>
      </w:r>
      <w:r w:rsidRPr="000D55A6">
        <w:rPr>
          <w:i/>
          <w:iCs/>
        </w:rPr>
        <w:t xml:space="preserve">. </w:t>
      </w:r>
      <w:r w:rsidRPr="000D55A6" w:rsidR="00BF1578">
        <w:rPr>
          <w:i/>
          <w:iCs/>
        </w:rPr>
        <w:t>Celkové ploše i</w:t>
      </w:r>
      <w:r w:rsidR="005B1B8F">
        <w:rPr>
          <w:i/>
          <w:iCs/>
        </w:rPr>
        <w:t> </w:t>
      </w:r>
      <w:r w:rsidRPr="000D55A6" w:rsidR="00BF1578">
        <w:rPr>
          <w:i/>
          <w:iCs/>
        </w:rPr>
        <w:t xml:space="preserve">nadále </w:t>
      </w:r>
      <w:r w:rsidRPr="000D55A6" w:rsidR="008F5860">
        <w:rPr>
          <w:i/>
          <w:iCs/>
        </w:rPr>
        <w:t xml:space="preserve">dominují s cca 25 % </w:t>
      </w:r>
      <w:r w:rsidRPr="000D55A6" w:rsidR="00BF1578">
        <w:rPr>
          <w:i/>
          <w:iCs/>
        </w:rPr>
        <w:t xml:space="preserve">móda a potraviny, </w:t>
      </w:r>
      <w:r w:rsidRPr="000D55A6" w:rsidR="008F5860">
        <w:rPr>
          <w:i/>
          <w:iCs/>
        </w:rPr>
        <w:t xml:space="preserve">následované s 10 % </w:t>
      </w:r>
      <w:r w:rsidRPr="000D55A6" w:rsidR="00BF1578">
        <w:rPr>
          <w:i/>
          <w:iCs/>
        </w:rPr>
        <w:t>specializovaný</w:t>
      </w:r>
      <w:r w:rsidRPr="000D55A6" w:rsidR="008F5860">
        <w:rPr>
          <w:i/>
          <w:iCs/>
        </w:rPr>
        <w:t>m</w:t>
      </w:r>
      <w:r w:rsidRPr="000D55A6" w:rsidR="00BF1578">
        <w:rPr>
          <w:i/>
          <w:iCs/>
        </w:rPr>
        <w:t xml:space="preserve"> maloobchod</w:t>
      </w:r>
      <w:r w:rsidRPr="000D55A6" w:rsidR="008F5860">
        <w:rPr>
          <w:i/>
          <w:iCs/>
        </w:rPr>
        <w:t>em</w:t>
      </w:r>
      <w:r w:rsidRPr="00C64CA6" w:rsidR="008F5860">
        <w:rPr>
          <w:rStyle w:val="Znakapoznpodarou"/>
          <w:i/>
          <w:iCs/>
        </w:rPr>
        <w:footnoteReference w:id="2"/>
      </w:r>
      <w:r w:rsidRPr="00C64CA6" w:rsidR="008F5860">
        <w:rPr>
          <w:i/>
          <w:iCs/>
        </w:rPr>
        <w:t xml:space="preserve"> a</w:t>
      </w:r>
      <w:r w:rsidR="005B1B8F">
        <w:rPr>
          <w:i/>
          <w:iCs/>
        </w:rPr>
        <w:t> </w:t>
      </w:r>
      <w:r w:rsidRPr="00C64CA6" w:rsidR="00BF1578">
        <w:rPr>
          <w:i/>
          <w:iCs/>
        </w:rPr>
        <w:t>s 8 % kategori</w:t>
      </w:r>
      <w:r w:rsidRPr="00C64CA6" w:rsidR="008F5860">
        <w:rPr>
          <w:i/>
          <w:iCs/>
        </w:rPr>
        <w:t>í</w:t>
      </w:r>
      <w:r w:rsidRPr="00C64CA6" w:rsidR="00BF1578">
        <w:rPr>
          <w:i/>
          <w:iCs/>
        </w:rPr>
        <w:t xml:space="preserve"> sport</w:t>
      </w:r>
      <w:r w:rsidRPr="00C64CA6" w:rsidR="008F5860">
        <w:rPr>
          <w:i/>
          <w:iCs/>
        </w:rPr>
        <w:t>u,“</w:t>
      </w:r>
      <w:r w:rsidRPr="00C64CA6" w:rsidR="008F5860">
        <w:t xml:space="preserve"> komentuje </w:t>
      </w:r>
      <w:r w:rsidRPr="00C64CA6" w:rsidR="008F5860">
        <w:rPr>
          <w:b/>
          <w:bCs/>
        </w:rPr>
        <w:t xml:space="preserve">Klára </w:t>
      </w:r>
      <w:proofErr w:type="spellStart"/>
      <w:r w:rsidRPr="00C64CA6" w:rsidR="008F5860">
        <w:rPr>
          <w:b/>
          <w:bCs/>
        </w:rPr>
        <w:t>Bejblová</w:t>
      </w:r>
      <w:proofErr w:type="spellEnd"/>
      <w:r w:rsidRPr="00C64CA6" w:rsidR="008F5860">
        <w:rPr>
          <w:b/>
          <w:bCs/>
        </w:rPr>
        <w:t xml:space="preserve">, </w:t>
      </w:r>
      <w:r w:rsidRPr="00C64CA6" w:rsidR="0055185E">
        <w:rPr>
          <w:b/>
          <w:bCs/>
        </w:rPr>
        <w:t xml:space="preserve">expertka </w:t>
      </w:r>
      <w:r w:rsidRPr="00C64CA6" w:rsidR="009F20F1">
        <w:rPr>
          <w:b/>
          <w:bCs/>
        </w:rPr>
        <w:t xml:space="preserve">CBRE </w:t>
      </w:r>
      <w:r w:rsidRPr="00C64CA6" w:rsidR="008F5860">
        <w:rPr>
          <w:b/>
          <w:bCs/>
        </w:rPr>
        <w:t>na průzkum trhu a poradenství v</w:t>
      </w:r>
      <w:r w:rsidRPr="00C64CA6" w:rsidR="009F3317">
        <w:rPr>
          <w:b/>
          <w:bCs/>
        </w:rPr>
        <w:t> </w:t>
      </w:r>
      <w:r w:rsidRPr="00C64CA6" w:rsidR="008F5860">
        <w:rPr>
          <w:b/>
          <w:bCs/>
        </w:rPr>
        <w:t xml:space="preserve">oblasti maloobchodu pro Českou republiku a region </w:t>
      </w:r>
      <w:r w:rsidRPr="00C64CA6" w:rsidR="00133DC3">
        <w:rPr>
          <w:b/>
          <w:bCs/>
        </w:rPr>
        <w:t>Evropy</w:t>
      </w:r>
      <w:r w:rsidRPr="00C64CA6" w:rsidR="008F5860">
        <w:t xml:space="preserve">, </w:t>
      </w:r>
      <w:r w:rsidR="004B2080">
        <w:t xml:space="preserve">přičemž </w:t>
      </w:r>
      <w:r w:rsidRPr="00C64CA6" w:rsidR="008F5860">
        <w:t>pokračuje:</w:t>
      </w:r>
      <w:r w:rsidRPr="00C64CA6" w:rsidR="009F3317">
        <w:rPr>
          <w:b/>
          <w:bCs/>
        </w:rPr>
        <w:t xml:space="preserve"> </w:t>
      </w:r>
      <w:r w:rsidRPr="00C64CA6" w:rsidR="008F5860">
        <w:rPr>
          <w:i/>
          <w:iCs/>
        </w:rPr>
        <w:t>„</w:t>
      </w:r>
      <w:r w:rsidRPr="00C64CA6" w:rsidR="00A45E38">
        <w:rPr>
          <w:i/>
          <w:iCs/>
        </w:rPr>
        <w:t xml:space="preserve">Z hlediska dynamiky vývoje </w:t>
      </w:r>
      <w:r w:rsidRPr="00C64CA6" w:rsidR="006B612A">
        <w:rPr>
          <w:i/>
          <w:iCs/>
        </w:rPr>
        <w:t>vloni</w:t>
      </w:r>
      <w:r w:rsidRPr="00C64CA6" w:rsidR="00BE4BD0">
        <w:rPr>
          <w:i/>
          <w:iCs/>
        </w:rPr>
        <w:t xml:space="preserve"> došlo </w:t>
      </w:r>
      <w:r w:rsidRPr="00C64CA6" w:rsidR="00A45E38">
        <w:rPr>
          <w:i/>
          <w:iCs/>
        </w:rPr>
        <w:t>k největšímu meziročnímu nárůstu nájemní plochy v</w:t>
      </w:r>
      <w:r w:rsidRPr="00C64CA6" w:rsidR="003C6C45">
        <w:rPr>
          <w:i/>
          <w:iCs/>
        </w:rPr>
        <w:t> </w:t>
      </w:r>
      <w:r w:rsidRPr="00C64CA6" w:rsidR="00A45E38">
        <w:rPr>
          <w:i/>
          <w:iCs/>
        </w:rPr>
        <w:t>sektor</w:t>
      </w:r>
      <w:r w:rsidRPr="00C64CA6" w:rsidR="003C6C45">
        <w:rPr>
          <w:i/>
          <w:iCs/>
        </w:rPr>
        <w:t>u služeb (+9 %) a</w:t>
      </w:r>
      <w:r w:rsidRPr="00C64CA6" w:rsidR="002B390A">
        <w:rPr>
          <w:i/>
          <w:iCs/>
        </w:rPr>
        <w:t> </w:t>
      </w:r>
      <w:r w:rsidRPr="00C64CA6" w:rsidR="009F3317">
        <w:rPr>
          <w:i/>
          <w:iCs/>
        </w:rPr>
        <w:t>gastronomi</w:t>
      </w:r>
      <w:r w:rsidRPr="00C64CA6" w:rsidR="003C6C45">
        <w:rPr>
          <w:i/>
          <w:iCs/>
        </w:rPr>
        <w:t>i</w:t>
      </w:r>
      <w:r w:rsidRPr="00C64CA6" w:rsidR="00A45E38">
        <w:rPr>
          <w:i/>
          <w:iCs/>
        </w:rPr>
        <w:t xml:space="preserve"> (</w:t>
      </w:r>
      <w:r w:rsidRPr="00C64CA6" w:rsidR="006B612A">
        <w:rPr>
          <w:i/>
          <w:iCs/>
        </w:rPr>
        <w:t>+</w:t>
      </w:r>
      <w:r w:rsidRPr="00C64CA6" w:rsidR="00A45E38">
        <w:rPr>
          <w:i/>
          <w:iCs/>
        </w:rPr>
        <w:t>5</w:t>
      </w:r>
      <w:r w:rsidRPr="00C64CA6" w:rsidR="00753072">
        <w:rPr>
          <w:i/>
          <w:iCs/>
        </w:rPr>
        <w:t xml:space="preserve"> </w:t>
      </w:r>
      <w:r w:rsidRPr="00C64CA6" w:rsidR="00A45E38">
        <w:rPr>
          <w:i/>
          <w:iCs/>
        </w:rPr>
        <w:t>%)</w:t>
      </w:r>
      <w:r w:rsidRPr="00C64CA6" w:rsidR="009F3317">
        <w:rPr>
          <w:i/>
          <w:iCs/>
        </w:rPr>
        <w:t>.</w:t>
      </w:r>
      <w:r w:rsidRPr="00C64CA6" w:rsidR="003C6C45">
        <w:rPr>
          <w:i/>
          <w:iCs/>
        </w:rPr>
        <w:t xml:space="preserve"> </w:t>
      </w:r>
      <w:r w:rsidRPr="00C64CA6" w:rsidR="00E82732">
        <w:rPr>
          <w:i/>
          <w:iCs/>
        </w:rPr>
        <w:t>D</w:t>
      </w:r>
      <w:r w:rsidRPr="00C64CA6" w:rsidR="009F3317">
        <w:rPr>
          <w:i/>
          <w:iCs/>
        </w:rPr>
        <w:t>alší významn</w:t>
      </w:r>
      <w:r w:rsidRPr="00C64CA6" w:rsidR="00E82732">
        <w:rPr>
          <w:i/>
          <w:iCs/>
        </w:rPr>
        <w:t xml:space="preserve">é změny zaznamenala </w:t>
      </w:r>
      <w:r w:rsidRPr="00C64CA6" w:rsidR="008F5860">
        <w:rPr>
          <w:i/>
          <w:iCs/>
        </w:rPr>
        <w:t>kategori</w:t>
      </w:r>
      <w:r w:rsidRPr="00C64CA6" w:rsidR="00E82732">
        <w:rPr>
          <w:i/>
          <w:iCs/>
        </w:rPr>
        <w:t>e</w:t>
      </w:r>
      <w:r w:rsidRPr="00C64CA6" w:rsidR="008F5860">
        <w:rPr>
          <w:i/>
          <w:iCs/>
        </w:rPr>
        <w:t xml:space="preserve"> módy, </w:t>
      </w:r>
      <w:r w:rsidRPr="00C64CA6" w:rsidR="00FB7DBE">
        <w:rPr>
          <w:i/>
          <w:iCs/>
        </w:rPr>
        <w:t xml:space="preserve">zejména z pohledu </w:t>
      </w:r>
      <w:r w:rsidRPr="00C64CA6" w:rsidR="008F5860">
        <w:rPr>
          <w:i/>
          <w:iCs/>
        </w:rPr>
        <w:t>proměn</w:t>
      </w:r>
      <w:r w:rsidRPr="00C64CA6" w:rsidR="00FB7DBE">
        <w:rPr>
          <w:i/>
          <w:iCs/>
        </w:rPr>
        <w:t>y</w:t>
      </w:r>
      <w:r w:rsidRPr="00C64CA6" w:rsidR="008F5860">
        <w:rPr>
          <w:i/>
          <w:iCs/>
        </w:rPr>
        <w:t xml:space="preserve"> nájemců. </w:t>
      </w:r>
      <w:r w:rsidRPr="00C64CA6" w:rsidR="00BF1578">
        <w:rPr>
          <w:i/>
          <w:iCs/>
        </w:rPr>
        <w:t xml:space="preserve">Na straně jedné </w:t>
      </w:r>
      <w:r w:rsidRPr="00C64CA6" w:rsidR="00305612">
        <w:rPr>
          <w:i/>
          <w:iCs/>
        </w:rPr>
        <w:t>pro</w:t>
      </w:r>
      <w:r w:rsidRPr="00C64CA6" w:rsidR="00EC43BA">
        <w:rPr>
          <w:i/>
          <w:iCs/>
        </w:rPr>
        <w:t>běhlo</w:t>
      </w:r>
      <w:r w:rsidRPr="00C64CA6" w:rsidR="00BF1578">
        <w:rPr>
          <w:i/>
          <w:iCs/>
        </w:rPr>
        <w:t xml:space="preserve"> uzavírání </w:t>
      </w:r>
      <w:r w:rsidRPr="00C64CA6" w:rsidR="00305612">
        <w:rPr>
          <w:i/>
          <w:iCs/>
        </w:rPr>
        <w:t xml:space="preserve">některých </w:t>
      </w:r>
      <w:r w:rsidRPr="00C64CA6" w:rsidR="00BF1578">
        <w:rPr>
          <w:i/>
          <w:iCs/>
        </w:rPr>
        <w:t>obchodů způsobené redukcí méně výkonných poboček anebo akvizicí vybraných značek. Na</w:t>
      </w:r>
      <w:r w:rsidRPr="00C64CA6" w:rsidR="009F3317">
        <w:rPr>
          <w:i/>
          <w:iCs/>
        </w:rPr>
        <w:t> </w:t>
      </w:r>
      <w:r w:rsidRPr="00C64CA6" w:rsidR="00BF1578">
        <w:rPr>
          <w:i/>
          <w:iCs/>
        </w:rPr>
        <w:t xml:space="preserve">straně druhé </w:t>
      </w:r>
      <w:r w:rsidRPr="00C64CA6" w:rsidR="00305612">
        <w:rPr>
          <w:i/>
          <w:iCs/>
        </w:rPr>
        <w:t>řada</w:t>
      </w:r>
      <w:r w:rsidRPr="00C64CA6" w:rsidR="00BF1578">
        <w:rPr>
          <w:i/>
          <w:iCs/>
        </w:rPr>
        <w:t xml:space="preserve"> populárních </w:t>
      </w:r>
      <w:proofErr w:type="spellStart"/>
      <w:r w:rsidRPr="00C64CA6" w:rsidR="00BF1578">
        <w:rPr>
          <w:i/>
          <w:iCs/>
        </w:rPr>
        <w:t>brandů</w:t>
      </w:r>
      <w:proofErr w:type="spellEnd"/>
      <w:r w:rsidRPr="00C64CA6" w:rsidR="00BF1578">
        <w:rPr>
          <w:i/>
          <w:iCs/>
        </w:rPr>
        <w:t xml:space="preserve"> a diskontních řetězců</w:t>
      </w:r>
      <w:r w:rsidRPr="00C64CA6" w:rsidR="00305612">
        <w:rPr>
          <w:i/>
          <w:iCs/>
        </w:rPr>
        <w:t xml:space="preserve"> expandovala</w:t>
      </w:r>
      <w:r w:rsidRPr="00C64CA6" w:rsidR="00BF1578">
        <w:rPr>
          <w:i/>
          <w:iCs/>
        </w:rPr>
        <w:t>.</w:t>
      </w:r>
      <w:r w:rsidRPr="00C64CA6" w:rsidR="00351A24">
        <w:rPr>
          <w:i/>
          <w:iCs/>
        </w:rPr>
        <w:t>“</w:t>
      </w:r>
    </w:p>
    <w:p w:rsidRPr="00C64CA6" w:rsidR="00BF1578" w:rsidP="00784D2C" w:rsidRDefault="00BF1578" w14:paraId="128797FC" w14:textId="77777777">
      <w:pPr>
        <w:pStyle w:val="BodyCopy"/>
        <w:jc w:val="both"/>
      </w:pPr>
    </w:p>
    <w:p w:rsidRPr="00C64CA6" w:rsidR="00D37AD0" w:rsidP="00F32043" w:rsidRDefault="00EC43BA" w14:paraId="33F6EAF9" w14:textId="77777777">
      <w:pPr>
        <w:pStyle w:val="BodyCopy"/>
        <w:jc w:val="both"/>
      </w:pPr>
      <w:r w:rsidRPr="00C64CA6">
        <w:rPr>
          <w:b/>
          <w:bCs/>
        </w:rPr>
        <w:t>N</w:t>
      </w:r>
      <w:r w:rsidRPr="00C64CA6" w:rsidR="00D1226E">
        <w:rPr>
          <w:b/>
          <w:bCs/>
        </w:rPr>
        <w:t>ávštěvnost regionálních nákupních center</w:t>
      </w:r>
      <w:r w:rsidRPr="00C64CA6">
        <w:t xml:space="preserve"> </w:t>
      </w:r>
      <w:r w:rsidRPr="00C64CA6">
        <w:rPr>
          <w:b/>
          <w:bCs/>
        </w:rPr>
        <w:t>vloni</w:t>
      </w:r>
      <w:bookmarkStart w:name="_Hlk135730448" w:id="0"/>
      <w:r w:rsidRPr="00C64CA6">
        <w:rPr>
          <w:b/>
          <w:bCs/>
        </w:rPr>
        <w:t xml:space="preserve"> </w:t>
      </w:r>
      <w:r w:rsidRPr="00C64CA6" w:rsidR="00D1226E">
        <w:rPr>
          <w:b/>
          <w:bCs/>
        </w:rPr>
        <w:t>meziročně vzrostla o 23,5 %</w:t>
      </w:r>
    </w:p>
    <w:p w:rsidRPr="00C64CA6" w:rsidR="00F32043" w:rsidP="00F32043" w:rsidRDefault="0055185E" w14:paraId="622B8C07" w14:textId="5EAAD4E8">
      <w:pPr>
        <w:pStyle w:val="BodyCopy"/>
        <w:jc w:val="both"/>
      </w:pPr>
      <w:r w:rsidRPr="00C64CA6">
        <w:t>V</w:t>
      </w:r>
      <w:r w:rsidRPr="00C64CA6" w:rsidR="00D1226E">
        <w:t> porovnání s hodnotami z </w:t>
      </w:r>
      <w:proofErr w:type="spellStart"/>
      <w:r w:rsidRPr="00C64CA6" w:rsidR="00D1226E">
        <w:t>předcovidového</w:t>
      </w:r>
      <w:proofErr w:type="spellEnd"/>
      <w:r w:rsidRPr="00C64CA6" w:rsidR="00D1226E">
        <w:t xml:space="preserve"> roku 2019 </w:t>
      </w:r>
      <w:r w:rsidRPr="00C64CA6">
        <w:t xml:space="preserve">nicméně přesto </w:t>
      </w:r>
      <w:r w:rsidRPr="00C64CA6" w:rsidR="00D1226E">
        <w:t xml:space="preserve">zaostávala o 11 %. </w:t>
      </w:r>
      <w:bookmarkEnd w:id="0"/>
      <w:r w:rsidRPr="00C64CA6">
        <w:t xml:space="preserve">První kvartál byl ještě poznamenán </w:t>
      </w:r>
      <w:r w:rsidRPr="00C64CA6" w:rsidR="00D1226E">
        <w:t>ochrannými opatřeními</w:t>
      </w:r>
      <w:r w:rsidRPr="00C64CA6">
        <w:t>,</w:t>
      </w:r>
      <w:r w:rsidRPr="00C64CA6" w:rsidR="00D1226E">
        <w:t xml:space="preserve"> </w:t>
      </w:r>
      <w:r w:rsidRPr="00C64CA6">
        <w:t xml:space="preserve">v druhém pak na základě </w:t>
      </w:r>
      <w:r w:rsidRPr="00C64CA6" w:rsidR="00FC6163">
        <w:t>odložen</w:t>
      </w:r>
      <w:r w:rsidRPr="00C64CA6">
        <w:t>é</w:t>
      </w:r>
      <w:r w:rsidRPr="00C64CA6" w:rsidR="00FC6163">
        <w:t xml:space="preserve"> spotřeb</w:t>
      </w:r>
      <w:r w:rsidRPr="00C64CA6">
        <w:t>y</w:t>
      </w:r>
      <w:r w:rsidRPr="00C64CA6" w:rsidR="00FC6163">
        <w:t xml:space="preserve"> a částečně i</w:t>
      </w:r>
      <w:r w:rsidR="00A60DF9">
        <w:t> </w:t>
      </w:r>
      <w:r w:rsidRPr="00C64CA6" w:rsidR="00FC6163">
        <w:t>migrační vln</w:t>
      </w:r>
      <w:r w:rsidRPr="00C64CA6" w:rsidR="006126B4">
        <w:t>y</w:t>
      </w:r>
      <w:r w:rsidRPr="00C64CA6" w:rsidR="00B877B5">
        <w:t xml:space="preserve"> </w:t>
      </w:r>
      <w:r w:rsidRPr="00C64CA6" w:rsidR="00FC6163">
        <w:t>z</w:t>
      </w:r>
      <w:r w:rsidRPr="00C64CA6">
        <w:t> </w:t>
      </w:r>
      <w:r w:rsidRPr="00C64CA6" w:rsidR="00FC6163">
        <w:t>Ukrajiny</w:t>
      </w:r>
      <w:r w:rsidRPr="00C64CA6">
        <w:t xml:space="preserve"> došlo k nárůstu. D</w:t>
      </w:r>
      <w:r w:rsidRPr="00C64CA6" w:rsidR="00D1226E">
        <w:t xml:space="preserve">o konce roku pak </w:t>
      </w:r>
      <w:r w:rsidRPr="00C64CA6">
        <w:t xml:space="preserve">ale </w:t>
      </w:r>
      <w:r w:rsidRPr="00C64CA6" w:rsidR="00D1226E">
        <w:t>návštěvnost</w:t>
      </w:r>
      <w:r w:rsidRPr="00C64CA6">
        <w:t xml:space="preserve"> nepatrně klesala, a</w:t>
      </w:r>
      <w:r w:rsidR="00A60DF9">
        <w:t> </w:t>
      </w:r>
      <w:r w:rsidRPr="00C64CA6">
        <w:t>to</w:t>
      </w:r>
      <w:r w:rsidR="00A60DF9">
        <w:t> </w:t>
      </w:r>
      <w:r w:rsidRPr="00C64CA6">
        <w:t xml:space="preserve">z důvodu omezování výdajů a </w:t>
      </w:r>
      <w:r w:rsidRPr="00C64CA6" w:rsidR="00D1226E">
        <w:t>snižující se důvěr</w:t>
      </w:r>
      <w:r w:rsidRPr="00C64CA6">
        <w:t>y</w:t>
      </w:r>
      <w:r w:rsidRPr="00C64CA6" w:rsidR="00D1226E">
        <w:t xml:space="preserve"> zákazníků</w:t>
      </w:r>
      <w:r w:rsidRPr="00C64CA6">
        <w:t>.</w:t>
      </w:r>
      <w:r w:rsidRPr="00C64CA6" w:rsidR="00D1226E">
        <w:t xml:space="preserve"> </w:t>
      </w:r>
      <w:r w:rsidRPr="000D55A6" w:rsidR="00BA60BF">
        <w:rPr>
          <w:i/>
          <w:iCs/>
        </w:rPr>
        <w:t>„</w:t>
      </w:r>
      <w:r w:rsidRPr="000D55A6" w:rsidR="002555E9">
        <w:rPr>
          <w:i/>
          <w:iCs/>
        </w:rPr>
        <w:t>Aktuální průzkum CBRE</w:t>
      </w:r>
      <w:r w:rsidRPr="000D55A6" w:rsidR="00F0707D">
        <w:rPr>
          <w:i/>
          <w:iCs/>
        </w:rPr>
        <w:t xml:space="preserve"> mezi zákazníky</w:t>
      </w:r>
      <w:r w:rsidRPr="000D55A6" w:rsidR="002555E9">
        <w:rPr>
          <w:i/>
          <w:iCs/>
        </w:rPr>
        <w:t xml:space="preserve"> </w:t>
      </w:r>
      <w:r w:rsidRPr="000D55A6" w:rsidR="00AF3CA4">
        <w:rPr>
          <w:i/>
          <w:iCs/>
        </w:rPr>
        <w:t>potvrdi</w:t>
      </w:r>
      <w:r w:rsidRPr="000D55A6" w:rsidR="002555E9">
        <w:rPr>
          <w:i/>
          <w:iCs/>
        </w:rPr>
        <w:t xml:space="preserve">l, že </w:t>
      </w:r>
      <w:r w:rsidRPr="000D55A6" w:rsidR="00F0707D">
        <w:rPr>
          <w:i/>
          <w:iCs/>
        </w:rPr>
        <w:t xml:space="preserve">Češi </w:t>
      </w:r>
      <w:r w:rsidRPr="000D55A6" w:rsidR="002555E9">
        <w:rPr>
          <w:i/>
          <w:iCs/>
        </w:rPr>
        <w:t>nejčastěji vyráž</w:t>
      </w:r>
      <w:r w:rsidRPr="000D55A6" w:rsidR="00F0707D">
        <w:rPr>
          <w:i/>
          <w:iCs/>
        </w:rPr>
        <w:t>ej</w:t>
      </w:r>
      <w:r w:rsidRPr="000D55A6" w:rsidR="002555E9">
        <w:rPr>
          <w:i/>
          <w:iCs/>
        </w:rPr>
        <w:t xml:space="preserve">í do obchodních center kvůli nákupu v hypermarketech </w:t>
      </w:r>
      <w:r w:rsidR="00A60DF9">
        <w:rPr>
          <w:i/>
          <w:iCs/>
        </w:rPr>
        <w:t>anebo </w:t>
      </w:r>
      <w:r w:rsidRPr="000D55A6" w:rsidR="002555E9">
        <w:rPr>
          <w:i/>
          <w:iCs/>
        </w:rPr>
        <w:t xml:space="preserve">supermarketech, a to i </w:t>
      </w:r>
      <w:r w:rsidRPr="000D55A6" w:rsidR="003436C8">
        <w:rPr>
          <w:i/>
          <w:iCs/>
        </w:rPr>
        <w:t>několikrát týdně. Za nimi následují obchody s</w:t>
      </w:r>
      <w:r w:rsidRPr="000D55A6" w:rsidR="002B390A">
        <w:rPr>
          <w:i/>
          <w:iCs/>
        </w:rPr>
        <w:t> </w:t>
      </w:r>
      <w:r w:rsidRPr="000D55A6" w:rsidR="003436C8">
        <w:rPr>
          <w:i/>
          <w:iCs/>
        </w:rPr>
        <w:t xml:space="preserve">oblečením a restaurace </w:t>
      </w:r>
      <w:r w:rsidRPr="000D55A6" w:rsidR="003436C8">
        <w:rPr>
          <w:i/>
          <w:iCs/>
        </w:rPr>
        <w:lastRenderedPageBreak/>
        <w:t>či</w:t>
      </w:r>
      <w:r w:rsidR="00A60DF9">
        <w:rPr>
          <w:i/>
          <w:iCs/>
        </w:rPr>
        <w:t> </w:t>
      </w:r>
      <w:r w:rsidRPr="000D55A6" w:rsidR="003436C8">
        <w:rPr>
          <w:i/>
          <w:iCs/>
        </w:rPr>
        <w:t xml:space="preserve">provozovny rychlého občerstvení a kavárny. Ty jsou důvodem, proč až 13 % respondentů </w:t>
      </w:r>
      <w:r w:rsidRPr="000D55A6" w:rsidR="00F0707D">
        <w:rPr>
          <w:i/>
          <w:iCs/>
        </w:rPr>
        <w:t xml:space="preserve">zavítá do </w:t>
      </w:r>
      <w:r w:rsidRPr="000D55A6" w:rsidR="003436C8">
        <w:rPr>
          <w:i/>
          <w:iCs/>
        </w:rPr>
        <w:t xml:space="preserve">OC alespoň jednou týdně. </w:t>
      </w:r>
      <w:r w:rsidRPr="000D55A6" w:rsidR="00683334">
        <w:rPr>
          <w:i/>
          <w:iCs/>
        </w:rPr>
        <w:t>Obecně vyšší frekvence je patrná u obyvatel Prahy a</w:t>
      </w:r>
      <w:r w:rsidRPr="000D55A6" w:rsidR="002B390A">
        <w:rPr>
          <w:i/>
          <w:iCs/>
        </w:rPr>
        <w:t> </w:t>
      </w:r>
      <w:r w:rsidRPr="000D55A6" w:rsidR="00683334">
        <w:rPr>
          <w:i/>
          <w:iCs/>
        </w:rPr>
        <w:t xml:space="preserve">dalších krajských měst, stejně jako </w:t>
      </w:r>
      <w:r w:rsidRPr="000D55A6" w:rsidR="00F0707D">
        <w:rPr>
          <w:i/>
          <w:iCs/>
        </w:rPr>
        <w:t xml:space="preserve">u </w:t>
      </w:r>
      <w:r w:rsidRPr="000D55A6" w:rsidR="00683334">
        <w:rPr>
          <w:i/>
          <w:iCs/>
        </w:rPr>
        <w:t xml:space="preserve">mladší generace </w:t>
      </w:r>
      <w:r w:rsidRPr="000D55A6" w:rsidR="00F32043">
        <w:rPr>
          <w:i/>
          <w:iCs/>
        </w:rPr>
        <w:t>ve věku 18</w:t>
      </w:r>
      <w:r w:rsidRPr="000D55A6" w:rsidR="00BA60BF">
        <w:rPr>
          <w:i/>
          <w:iCs/>
        </w:rPr>
        <w:t xml:space="preserve"> až </w:t>
      </w:r>
      <w:r w:rsidRPr="000D55A6" w:rsidR="00F32043">
        <w:rPr>
          <w:i/>
          <w:iCs/>
        </w:rPr>
        <w:t>25 let</w:t>
      </w:r>
      <w:r w:rsidRPr="000D55A6" w:rsidR="00BA60BF">
        <w:rPr>
          <w:i/>
          <w:iCs/>
        </w:rPr>
        <w:t>,“</w:t>
      </w:r>
      <w:r w:rsidRPr="000D55A6" w:rsidR="00BA60BF">
        <w:t xml:space="preserve"> </w:t>
      </w:r>
      <w:r w:rsidRPr="000D55A6" w:rsidR="00F748AB">
        <w:t>popisuje</w:t>
      </w:r>
      <w:r w:rsidRPr="000D55A6" w:rsidR="00BA60BF">
        <w:t xml:space="preserve"> </w:t>
      </w:r>
      <w:r w:rsidRPr="000D55A6" w:rsidR="00BA60BF">
        <w:rPr>
          <w:b/>
          <w:bCs/>
        </w:rPr>
        <w:t>Michaela Šoková, vedoucí retail marketingu v CBRE</w:t>
      </w:r>
      <w:r w:rsidRPr="000D55A6" w:rsidR="00BA60BF">
        <w:t>.</w:t>
      </w:r>
    </w:p>
    <w:p w:rsidRPr="00C64CA6" w:rsidR="00F32043" w:rsidP="00784D2C" w:rsidRDefault="00F32043" w14:paraId="79B0FFFC" w14:textId="77777777">
      <w:pPr>
        <w:pStyle w:val="BodyCopy"/>
        <w:jc w:val="both"/>
      </w:pPr>
    </w:p>
    <w:p w:rsidRPr="00C64CA6" w:rsidR="00F748AB" w:rsidP="00DA6F44" w:rsidRDefault="00DA6F44" w14:paraId="52CD87EC" w14:textId="7DD469ED">
      <w:pPr>
        <w:pStyle w:val="BodyCopy"/>
        <w:jc w:val="both"/>
        <w:rPr>
          <w:b/>
          <w:bCs/>
        </w:rPr>
      </w:pPr>
      <w:r w:rsidRPr="00C64CA6">
        <w:rPr>
          <w:b/>
          <w:bCs/>
        </w:rPr>
        <w:t xml:space="preserve">I přes nižší hladinu návštěvnosti </w:t>
      </w:r>
      <w:bookmarkStart w:name="_Hlk135730657" w:id="1"/>
      <w:r w:rsidRPr="00C64CA6">
        <w:rPr>
          <w:b/>
          <w:bCs/>
        </w:rPr>
        <w:t xml:space="preserve">zaznamenaly </w:t>
      </w:r>
      <w:r w:rsidRPr="00C64CA6" w:rsidR="00F748AB">
        <w:rPr>
          <w:b/>
          <w:bCs/>
        </w:rPr>
        <w:t xml:space="preserve">obraty </w:t>
      </w:r>
      <w:r w:rsidRPr="00C64CA6">
        <w:rPr>
          <w:b/>
          <w:bCs/>
        </w:rPr>
        <w:t>významný růst</w:t>
      </w:r>
    </w:p>
    <w:p w:rsidR="002E0C8E" w:rsidP="002E0C8E" w:rsidRDefault="002621EA" w14:paraId="565BD672" w14:textId="2EAC80C4">
      <w:pPr>
        <w:pStyle w:val="BodyCopy"/>
        <w:jc w:val="both"/>
      </w:pPr>
      <w:r w:rsidRPr="00C64CA6">
        <w:t>Průměrná útrata během jedné návštěvy OC vloni dos</w:t>
      </w:r>
      <w:r w:rsidRPr="00C64CA6" w:rsidR="00AF3CA4">
        <w:t>áhla</w:t>
      </w:r>
      <w:r w:rsidRPr="00C64CA6">
        <w:t xml:space="preserve"> </w:t>
      </w:r>
      <w:r w:rsidRPr="00C64CA6" w:rsidR="0055185E">
        <w:t>268</w:t>
      </w:r>
      <w:r w:rsidRPr="00C64CA6">
        <w:t xml:space="preserve"> Kč, což představuje </w:t>
      </w:r>
      <w:r w:rsidRPr="00C64CA6" w:rsidR="00195D90">
        <w:t>meziročn</w:t>
      </w:r>
      <w:r w:rsidRPr="00C64CA6">
        <w:t>í</w:t>
      </w:r>
      <w:r w:rsidRPr="00C64CA6" w:rsidR="00195D90">
        <w:t xml:space="preserve"> </w:t>
      </w:r>
      <w:r w:rsidRPr="00C64CA6">
        <w:t xml:space="preserve">nárůst </w:t>
      </w:r>
      <w:r w:rsidRPr="00C64CA6" w:rsidR="00195D90">
        <w:t>o</w:t>
      </w:r>
      <w:r w:rsidRPr="00C64CA6" w:rsidR="002B390A">
        <w:t> </w:t>
      </w:r>
      <w:r w:rsidRPr="00C64CA6" w:rsidR="00195D90">
        <w:t>5,9</w:t>
      </w:r>
      <w:r w:rsidRPr="00C64CA6" w:rsidR="002B390A">
        <w:t> </w:t>
      </w:r>
      <w:r w:rsidRPr="00C64CA6" w:rsidR="00195D90">
        <w:t xml:space="preserve">% </w:t>
      </w:r>
      <w:r w:rsidRPr="00C64CA6">
        <w:t xml:space="preserve">a </w:t>
      </w:r>
      <w:r w:rsidRPr="00C64CA6" w:rsidR="00195D90">
        <w:t>téměř 25%</w:t>
      </w:r>
      <w:r w:rsidRPr="00C64CA6" w:rsidR="00931E77">
        <w:t xml:space="preserve"> </w:t>
      </w:r>
      <w:r w:rsidRPr="00C64CA6" w:rsidR="009F20F1">
        <w:t>na</w:t>
      </w:r>
      <w:r w:rsidRPr="00C64CA6" w:rsidR="0064699D">
        <w:t>v</w:t>
      </w:r>
      <w:r w:rsidRPr="00C64CA6" w:rsidR="00931E77">
        <w:t>ýšení</w:t>
      </w:r>
      <w:r w:rsidRPr="00C64CA6" w:rsidR="00195D90">
        <w:t xml:space="preserve"> </w:t>
      </w:r>
      <w:r w:rsidRPr="00C64CA6" w:rsidR="00931E77">
        <w:t xml:space="preserve">oproti roku </w:t>
      </w:r>
      <w:r w:rsidRPr="00C64CA6" w:rsidR="00195D90">
        <w:t>2019.</w:t>
      </w:r>
      <w:r w:rsidRPr="00C64CA6" w:rsidR="00931E77">
        <w:t xml:space="preserve"> </w:t>
      </w:r>
      <w:r w:rsidRPr="00C64CA6" w:rsidR="00F748AB">
        <w:t xml:space="preserve">Obraty </w:t>
      </w:r>
      <w:r w:rsidRPr="00C64CA6">
        <w:t>v</w:t>
      </w:r>
      <w:r w:rsidRPr="00C64CA6" w:rsidR="00F748AB">
        <w:t>rostly</w:t>
      </w:r>
      <w:r w:rsidRPr="00C64CA6" w:rsidR="00DA6F44">
        <w:t xml:space="preserve"> jak meziročně</w:t>
      </w:r>
      <w:r w:rsidRPr="00C64CA6" w:rsidR="00F748AB">
        <w:t xml:space="preserve"> (+31,5 %)</w:t>
      </w:r>
      <w:r w:rsidRPr="00C64CA6" w:rsidR="00DA6F44">
        <w:t>, tak</w:t>
      </w:r>
      <w:r w:rsidRPr="00C64CA6" w:rsidR="002B390A">
        <w:t> </w:t>
      </w:r>
      <w:r w:rsidRPr="00C64CA6" w:rsidR="00DA6F44">
        <w:t>i</w:t>
      </w:r>
      <w:r w:rsidRPr="00C64CA6" w:rsidR="002B390A">
        <w:t> </w:t>
      </w:r>
      <w:r w:rsidRPr="00C64CA6" w:rsidR="00DA6F44">
        <w:t>v</w:t>
      </w:r>
      <w:r w:rsidRPr="00C64CA6" w:rsidR="002B390A">
        <w:t> </w:t>
      </w:r>
      <w:r w:rsidRPr="00C64CA6" w:rsidR="00DA6F44">
        <w:t>porovnání s</w:t>
      </w:r>
      <w:r w:rsidRPr="00C64CA6" w:rsidR="00931E77">
        <w:t xml:space="preserve"> předpandemickým </w:t>
      </w:r>
      <w:r w:rsidRPr="00C64CA6" w:rsidR="00DA6F44">
        <w:t>rokem 2019</w:t>
      </w:r>
      <w:r w:rsidRPr="00C64CA6" w:rsidR="00F748AB">
        <w:t xml:space="preserve"> (+</w:t>
      </w:r>
      <w:r w:rsidRPr="00C64CA6" w:rsidR="00DA6F44">
        <w:t>11,1 %</w:t>
      </w:r>
      <w:r w:rsidRPr="00C64CA6" w:rsidR="00F748AB">
        <w:t>)</w:t>
      </w:r>
      <w:r w:rsidRPr="00C64CA6" w:rsidR="00DA6F44">
        <w:t xml:space="preserve">. </w:t>
      </w:r>
      <w:bookmarkEnd w:id="1"/>
      <w:r w:rsidR="006B70CD">
        <w:t>„</w:t>
      </w:r>
      <w:r w:rsidRPr="00C64CA6" w:rsidR="009F20F1">
        <w:rPr>
          <w:i/>
          <w:iCs/>
        </w:rPr>
        <w:t xml:space="preserve">Čtyři </w:t>
      </w:r>
      <w:r w:rsidRPr="00C64CA6" w:rsidR="00DA6F44">
        <w:rPr>
          <w:i/>
          <w:iCs/>
        </w:rPr>
        <w:t>z devíti hlavních sektorů zaznamenal</w:t>
      </w:r>
      <w:r w:rsidRPr="00C64CA6" w:rsidR="009F20F1">
        <w:rPr>
          <w:i/>
          <w:iCs/>
        </w:rPr>
        <w:t>y</w:t>
      </w:r>
      <w:r w:rsidRPr="00C64CA6">
        <w:rPr>
          <w:i/>
          <w:iCs/>
        </w:rPr>
        <w:t xml:space="preserve"> </w:t>
      </w:r>
      <w:r w:rsidRPr="00C64CA6" w:rsidR="00B073A5">
        <w:rPr>
          <w:i/>
          <w:iCs/>
        </w:rPr>
        <w:t>oproti roku 2019</w:t>
      </w:r>
      <w:r w:rsidRPr="00C64CA6" w:rsidR="00103D51">
        <w:rPr>
          <w:i/>
          <w:iCs/>
        </w:rPr>
        <w:t xml:space="preserve"> </w:t>
      </w:r>
      <w:r w:rsidRPr="00C64CA6" w:rsidR="00DA6F44">
        <w:rPr>
          <w:i/>
          <w:iCs/>
        </w:rPr>
        <w:t>dvouciferný</w:t>
      </w:r>
      <w:r w:rsidRPr="00C64CA6" w:rsidR="009F20F1">
        <w:rPr>
          <w:i/>
          <w:iCs/>
        </w:rPr>
        <w:t xml:space="preserve"> růst</w:t>
      </w:r>
      <w:r w:rsidRPr="00C64CA6" w:rsidR="00DA6F44">
        <w:rPr>
          <w:i/>
          <w:iCs/>
        </w:rPr>
        <w:t xml:space="preserve">. </w:t>
      </w:r>
      <w:r w:rsidRPr="00C64CA6" w:rsidR="0031755B">
        <w:rPr>
          <w:i/>
          <w:iCs/>
        </w:rPr>
        <w:t>Premiantem byl sektor služeb, který si polepšil o</w:t>
      </w:r>
      <w:r w:rsidRPr="00C64CA6" w:rsidR="002B390A">
        <w:rPr>
          <w:i/>
          <w:iCs/>
        </w:rPr>
        <w:t> </w:t>
      </w:r>
      <w:r w:rsidRPr="00C64CA6" w:rsidR="0031755B">
        <w:rPr>
          <w:i/>
          <w:iCs/>
        </w:rPr>
        <w:t>35</w:t>
      </w:r>
      <w:r w:rsidRPr="00C64CA6" w:rsidR="002B390A">
        <w:rPr>
          <w:i/>
          <w:iCs/>
        </w:rPr>
        <w:t> </w:t>
      </w:r>
      <w:r w:rsidRPr="00C64CA6" w:rsidR="0031755B">
        <w:rPr>
          <w:i/>
          <w:iCs/>
        </w:rPr>
        <w:t>%</w:t>
      </w:r>
      <w:r w:rsidRPr="00C64CA6" w:rsidR="00DA6F44">
        <w:rPr>
          <w:i/>
          <w:iCs/>
        </w:rPr>
        <w:t xml:space="preserve">. </w:t>
      </w:r>
      <w:r w:rsidRPr="00C64CA6" w:rsidR="0031755B">
        <w:rPr>
          <w:i/>
          <w:iCs/>
        </w:rPr>
        <w:t xml:space="preserve">Hlavní </w:t>
      </w:r>
      <w:r w:rsidRPr="00C64CA6" w:rsidR="00AF3CA4">
        <w:rPr>
          <w:i/>
          <w:iCs/>
        </w:rPr>
        <w:t>podíl</w:t>
      </w:r>
      <w:r w:rsidRPr="00C64CA6" w:rsidR="00DA6F44">
        <w:rPr>
          <w:i/>
          <w:iCs/>
        </w:rPr>
        <w:t xml:space="preserve"> na tom měly cestovní kanceláře, které zvýšily </w:t>
      </w:r>
      <w:r w:rsidRPr="00C64CA6" w:rsidR="0095280D">
        <w:rPr>
          <w:i/>
          <w:iCs/>
        </w:rPr>
        <w:t xml:space="preserve">své </w:t>
      </w:r>
      <w:r w:rsidRPr="00C64CA6" w:rsidR="00DA6F44">
        <w:rPr>
          <w:i/>
          <w:iCs/>
        </w:rPr>
        <w:t>obraty</w:t>
      </w:r>
      <w:r w:rsidRPr="00C64CA6" w:rsidR="0031755B">
        <w:rPr>
          <w:i/>
          <w:iCs/>
        </w:rPr>
        <w:t xml:space="preserve"> </w:t>
      </w:r>
      <w:r w:rsidRPr="00C64CA6" w:rsidR="00DA6F44">
        <w:rPr>
          <w:i/>
          <w:iCs/>
        </w:rPr>
        <w:t>o téměř 90</w:t>
      </w:r>
      <w:r w:rsidRPr="00C64CA6" w:rsidR="009F20F1">
        <w:rPr>
          <w:i/>
          <w:iCs/>
        </w:rPr>
        <w:t> </w:t>
      </w:r>
      <w:r w:rsidRPr="00C64CA6" w:rsidR="00DA6F44">
        <w:rPr>
          <w:i/>
          <w:iCs/>
        </w:rPr>
        <w:t xml:space="preserve">%. Po zásadně omezeném </w:t>
      </w:r>
      <w:r w:rsidRPr="00C64CA6" w:rsidR="00526BE9">
        <w:rPr>
          <w:i/>
          <w:iCs/>
        </w:rPr>
        <w:t xml:space="preserve">provozu </w:t>
      </w:r>
      <w:r w:rsidRPr="00C64CA6" w:rsidR="00DA6F44">
        <w:rPr>
          <w:i/>
          <w:iCs/>
        </w:rPr>
        <w:t>v předchozích dvou letech bylo patrné oživení u kadeřnických a kosmetických s</w:t>
      </w:r>
      <w:r w:rsidRPr="00C64CA6" w:rsidR="0031755B">
        <w:rPr>
          <w:i/>
          <w:iCs/>
        </w:rPr>
        <w:t>alon</w:t>
      </w:r>
      <w:r w:rsidRPr="00C64CA6" w:rsidR="00E40AED">
        <w:rPr>
          <w:i/>
          <w:iCs/>
        </w:rPr>
        <w:t>ů</w:t>
      </w:r>
      <w:r w:rsidRPr="00C64CA6" w:rsidR="0031755B">
        <w:rPr>
          <w:i/>
          <w:iCs/>
        </w:rPr>
        <w:t xml:space="preserve">, nicméně </w:t>
      </w:r>
      <w:r w:rsidRPr="00C64CA6" w:rsidR="001B526D">
        <w:rPr>
          <w:i/>
          <w:iCs/>
        </w:rPr>
        <w:t xml:space="preserve">na výši </w:t>
      </w:r>
      <w:r w:rsidRPr="00C64CA6" w:rsidR="0031755B">
        <w:rPr>
          <w:i/>
          <w:iCs/>
        </w:rPr>
        <w:t xml:space="preserve">obratů </w:t>
      </w:r>
      <w:r w:rsidRPr="00C64CA6" w:rsidR="00E40AED">
        <w:rPr>
          <w:i/>
          <w:iCs/>
        </w:rPr>
        <w:t>z dob před pandemií</w:t>
      </w:r>
      <w:r w:rsidRPr="00C64CA6" w:rsidR="0031755B">
        <w:rPr>
          <w:i/>
          <w:iCs/>
        </w:rPr>
        <w:t xml:space="preserve"> </w:t>
      </w:r>
      <w:r w:rsidRPr="00C64CA6" w:rsidR="00FB6F7E">
        <w:rPr>
          <w:i/>
          <w:iCs/>
        </w:rPr>
        <w:t xml:space="preserve">nenavázaly </w:t>
      </w:r>
      <w:r w:rsidRPr="00C64CA6" w:rsidR="00DA6F44">
        <w:rPr>
          <w:i/>
          <w:iCs/>
        </w:rPr>
        <w:t>(-3 %</w:t>
      </w:r>
      <w:r w:rsidRPr="00C64CA6" w:rsidR="0031755B">
        <w:rPr>
          <w:i/>
          <w:iCs/>
        </w:rPr>
        <w:t>)</w:t>
      </w:r>
      <w:r w:rsidRPr="00C64CA6" w:rsidR="00DA6F44">
        <w:rPr>
          <w:i/>
          <w:iCs/>
        </w:rPr>
        <w:t>.</w:t>
      </w:r>
      <w:r w:rsidRPr="00C64CA6" w:rsidR="00C873A9">
        <w:rPr>
          <w:i/>
          <w:iCs/>
        </w:rPr>
        <w:t xml:space="preserve"> </w:t>
      </w:r>
      <w:r w:rsidRPr="00C64CA6" w:rsidR="0095280D">
        <w:rPr>
          <w:i/>
          <w:iCs/>
        </w:rPr>
        <w:t>J</w:t>
      </w:r>
      <w:r w:rsidRPr="00C64CA6" w:rsidR="0040093E">
        <w:rPr>
          <w:i/>
          <w:iCs/>
        </w:rPr>
        <w:t>eště větší ú</w:t>
      </w:r>
      <w:r w:rsidRPr="00C64CA6" w:rsidR="00E40AED">
        <w:rPr>
          <w:i/>
          <w:iCs/>
        </w:rPr>
        <w:t xml:space="preserve">spěch kategorie služeb </w:t>
      </w:r>
      <w:r w:rsidRPr="00C64CA6" w:rsidR="0095280D">
        <w:rPr>
          <w:i/>
          <w:iCs/>
        </w:rPr>
        <w:t>pak</w:t>
      </w:r>
      <w:r w:rsidRPr="00C64CA6" w:rsidR="002B390A">
        <w:rPr>
          <w:i/>
          <w:iCs/>
        </w:rPr>
        <w:t> </w:t>
      </w:r>
      <w:r w:rsidRPr="00C64CA6" w:rsidR="00E40AED">
        <w:rPr>
          <w:i/>
          <w:iCs/>
        </w:rPr>
        <w:t>tlu</w:t>
      </w:r>
      <w:r w:rsidRPr="00C64CA6" w:rsidR="0040093E">
        <w:rPr>
          <w:i/>
          <w:iCs/>
        </w:rPr>
        <w:t xml:space="preserve">mily </w:t>
      </w:r>
      <w:r w:rsidRPr="00C64CA6" w:rsidR="006647A6">
        <w:rPr>
          <w:i/>
          <w:iCs/>
        </w:rPr>
        <w:t>především</w:t>
      </w:r>
      <w:r w:rsidRPr="00C64CA6" w:rsidR="00FB6F7E">
        <w:rPr>
          <w:i/>
          <w:iCs/>
        </w:rPr>
        <w:t xml:space="preserve"> </w:t>
      </w:r>
      <w:r w:rsidRPr="00C64CA6" w:rsidR="0040093E">
        <w:rPr>
          <w:i/>
          <w:iCs/>
        </w:rPr>
        <w:t xml:space="preserve">obraty </w:t>
      </w:r>
      <w:r w:rsidRPr="00C64CA6" w:rsidR="009F20F1">
        <w:rPr>
          <w:i/>
          <w:iCs/>
        </w:rPr>
        <w:t>obchodů s chovatelskými potřebami</w:t>
      </w:r>
      <w:r w:rsidRPr="00C64CA6" w:rsidR="0040093E">
        <w:rPr>
          <w:i/>
          <w:iCs/>
        </w:rPr>
        <w:t xml:space="preserve"> (-9 %), u </w:t>
      </w:r>
      <w:r w:rsidRPr="00C64CA6" w:rsidR="00A52875">
        <w:rPr>
          <w:i/>
          <w:iCs/>
        </w:rPr>
        <w:t>kterých</w:t>
      </w:r>
      <w:r w:rsidRPr="00C64CA6" w:rsidR="0040093E">
        <w:rPr>
          <w:i/>
          <w:iCs/>
        </w:rPr>
        <w:t xml:space="preserve"> </w:t>
      </w:r>
      <w:r w:rsidRPr="00C64CA6" w:rsidR="009F20F1">
        <w:rPr>
          <w:i/>
          <w:iCs/>
        </w:rPr>
        <w:t xml:space="preserve">pozorujeme </w:t>
      </w:r>
      <w:r w:rsidRPr="00C64CA6" w:rsidR="0040093E">
        <w:rPr>
          <w:i/>
          <w:iCs/>
        </w:rPr>
        <w:t>pokračující redukc</w:t>
      </w:r>
      <w:r w:rsidRPr="00C64CA6" w:rsidR="009F20F1">
        <w:rPr>
          <w:i/>
          <w:iCs/>
        </w:rPr>
        <w:t>i</w:t>
      </w:r>
      <w:r w:rsidRPr="00C64CA6" w:rsidR="0040093E">
        <w:rPr>
          <w:i/>
          <w:iCs/>
        </w:rPr>
        <w:t xml:space="preserve"> prodejů</w:t>
      </w:r>
      <w:r w:rsidRPr="00C64CA6" w:rsidR="00266221">
        <w:rPr>
          <w:i/>
          <w:iCs/>
        </w:rPr>
        <w:t xml:space="preserve"> </w:t>
      </w:r>
      <w:r w:rsidRPr="00C64CA6" w:rsidR="0040093E">
        <w:rPr>
          <w:i/>
          <w:iCs/>
        </w:rPr>
        <w:t>vliv</w:t>
      </w:r>
      <w:r w:rsidRPr="00C64CA6" w:rsidR="009F20F1">
        <w:rPr>
          <w:i/>
          <w:iCs/>
        </w:rPr>
        <w:t xml:space="preserve">em </w:t>
      </w:r>
      <w:r w:rsidRPr="00C64CA6" w:rsidR="0040093E">
        <w:rPr>
          <w:i/>
          <w:iCs/>
        </w:rPr>
        <w:t>online nakupování,“</w:t>
      </w:r>
      <w:r w:rsidRPr="00C64CA6" w:rsidR="0040093E">
        <w:t xml:space="preserve"> uvádí </w:t>
      </w:r>
      <w:r w:rsidRPr="00C64CA6" w:rsidR="0040093E">
        <w:rPr>
          <w:b/>
          <w:bCs/>
        </w:rPr>
        <w:t xml:space="preserve">Klára </w:t>
      </w:r>
      <w:proofErr w:type="spellStart"/>
      <w:r w:rsidRPr="00C64CA6" w:rsidR="0040093E">
        <w:rPr>
          <w:b/>
          <w:bCs/>
        </w:rPr>
        <w:t>Bejblová</w:t>
      </w:r>
      <w:proofErr w:type="spellEnd"/>
      <w:r w:rsidRPr="00C64CA6" w:rsidR="0040093E">
        <w:rPr>
          <w:b/>
          <w:bCs/>
        </w:rPr>
        <w:t xml:space="preserve"> </w:t>
      </w:r>
      <w:r w:rsidRPr="00C64CA6" w:rsidR="0040093E">
        <w:t xml:space="preserve">a dodává: </w:t>
      </w:r>
      <w:r w:rsidRPr="00C64CA6" w:rsidR="0040093E">
        <w:rPr>
          <w:i/>
          <w:iCs/>
        </w:rPr>
        <w:t>„</w:t>
      </w:r>
      <w:r w:rsidRPr="00C64CA6" w:rsidR="00DA6F44">
        <w:rPr>
          <w:i/>
          <w:iCs/>
        </w:rPr>
        <w:t>Druhý největší růst</w:t>
      </w:r>
      <w:r w:rsidRPr="00C64CA6" w:rsidR="0040093E">
        <w:rPr>
          <w:i/>
          <w:iCs/>
        </w:rPr>
        <w:t xml:space="preserve"> obratů</w:t>
      </w:r>
      <w:r w:rsidRPr="00C64CA6" w:rsidR="00DA6F44">
        <w:rPr>
          <w:i/>
          <w:iCs/>
        </w:rPr>
        <w:t xml:space="preserve"> zaznamenal </w:t>
      </w:r>
      <w:r w:rsidRPr="00C64CA6" w:rsidR="00C873A9">
        <w:rPr>
          <w:i/>
          <w:iCs/>
        </w:rPr>
        <w:t>sektor elektroniky</w:t>
      </w:r>
      <w:r w:rsidRPr="00C64CA6" w:rsidR="00DA6F44">
        <w:rPr>
          <w:i/>
          <w:iCs/>
        </w:rPr>
        <w:t xml:space="preserve"> (</w:t>
      </w:r>
      <w:r w:rsidRPr="00C64CA6" w:rsidR="00C873A9">
        <w:rPr>
          <w:i/>
          <w:iCs/>
        </w:rPr>
        <w:t>+</w:t>
      </w:r>
      <w:r w:rsidRPr="00C64CA6" w:rsidR="00DA6F44">
        <w:rPr>
          <w:i/>
          <w:iCs/>
        </w:rPr>
        <w:t>20 %)</w:t>
      </w:r>
      <w:r w:rsidRPr="00C64CA6" w:rsidR="00C873A9">
        <w:rPr>
          <w:i/>
          <w:iCs/>
        </w:rPr>
        <w:t>,</w:t>
      </w:r>
      <w:r w:rsidRPr="00C64CA6" w:rsidR="00DA6F44">
        <w:rPr>
          <w:i/>
          <w:iCs/>
        </w:rPr>
        <w:t xml:space="preserve"> a to u téměř všech konceptů.</w:t>
      </w:r>
      <w:r w:rsidRPr="00C64CA6" w:rsidR="007D00A8">
        <w:rPr>
          <w:i/>
          <w:iCs/>
        </w:rPr>
        <w:t xml:space="preserve"> </w:t>
      </w:r>
      <w:r w:rsidRPr="00C64CA6" w:rsidR="00DA6F44">
        <w:rPr>
          <w:i/>
          <w:iCs/>
        </w:rPr>
        <w:t>Specializovaný maloobchod, který</w:t>
      </w:r>
      <w:r w:rsidR="00A60DF9">
        <w:rPr>
          <w:i/>
          <w:iCs/>
        </w:rPr>
        <w:t> </w:t>
      </w:r>
      <w:r w:rsidRPr="00C64CA6" w:rsidR="00DA6F44">
        <w:rPr>
          <w:i/>
          <w:iCs/>
        </w:rPr>
        <w:t>měl díky lékárnám, optikám a drog</w:t>
      </w:r>
      <w:r w:rsidRPr="00C64CA6" w:rsidR="0095280D">
        <w:rPr>
          <w:i/>
          <w:iCs/>
        </w:rPr>
        <w:t xml:space="preserve">ériím </w:t>
      </w:r>
      <w:r w:rsidRPr="00C64CA6" w:rsidR="00DA6F44">
        <w:rPr>
          <w:i/>
          <w:iCs/>
        </w:rPr>
        <w:t xml:space="preserve">nejlepší </w:t>
      </w:r>
      <w:r w:rsidRPr="00C64CA6" w:rsidR="00103D51">
        <w:rPr>
          <w:i/>
          <w:iCs/>
        </w:rPr>
        <w:t>dynamiku</w:t>
      </w:r>
      <w:r w:rsidRPr="00C64CA6" w:rsidR="00DA6F44">
        <w:rPr>
          <w:i/>
          <w:iCs/>
        </w:rPr>
        <w:t xml:space="preserve"> výkonnost</w:t>
      </w:r>
      <w:r w:rsidRPr="00C64CA6" w:rsidR="00103D51">
        <w:rPr>
          <w:i/>
          <w:iCs/>
        </w:rPr>
        <w:t>i</w:t>
      </w:r>
      <w:r w:rsidRPr="00C64CA6" w:rsidR="00DA6F44">
        <w:rPr>
          <w:i/>
          <w:iCs/>
        </w:rPr>
        <w:t xml:space="preserve"> v předchozích dvou letech, </w:t>
      </w:r>
      <w:r w:rsidRPr="00C64CA6" w:rsidR="00C873A9">
        <w:rPr>
          <w:i/>
          <w:iCs/>
        </w:rPr>
        <w:t>i</w:t>
      </w:r>
      <w:r w:rsidR="00A60DF9">
        <w:rPr>
          <w:i/>
          <w:iCs/>
        </w:rPr>
        <w:t> </w:t>
      </w:r>
      <w:r w:rsidRPr="00C64CA6" w:rsidR="00C873A9">
        <w:rPr>
          <w:i/>
          <w:iCs/>
        </w:rPr>
        <w:t xml:space="preserve">nadále rostl, a to </w:t>
      </w:r>
      <w:r w:rsidRPr="00C64CA6" w:rsidR="007D00A8">
        <w:rPr>
          <w:i/>
          <w:iCs/>
        </w:rPr>
        <w:t xml:space="preserve">o </w:t>
      </w:r>
      <w:r w:rsidRPr="00C64CA6" w:rsidR="00DA6F44">
        <w:rPr>
          <w:i/>
          <w:iCs/>
        </w:rPr>
        <w:t xml:space="preserve">19 </w:t>
      </w:r>
      <w:r w:rsidRPr="00C64CA6" w:rsidR="00B073A5">
        <w:rPr>
          <w:i/>
          <w:iCs/>
        </w:rPr>
        <w:t xml:space="preserve">%. Ke dvoucifernému </w:t>
      </w:r>
      <w:r w:rsidRPr="00C64CA6" w:rsidR="00DA6F44">
        <w:rPr>
          <w:i/>
          <w:iCs/>
        </w:rPr>
        <w:t xml:space="preserve">růstu </w:t>
      </w:r>
      <w:r w:rsidRPr="00C64CA6" w:rsidR="007E2990">
        <w:rPr>
          <w:i/>
          <w:iCs/>
        </w:rPr>
        <w:t xml:space="preserve">se navíc </w:t>
      </w:r>
      <w:r w:rsidRPr="00C64CA6" w:rsidR="00DA6F44">
        <w:rPr>
          <w:i/>
          <w:iCs/>
        </w:rPr>
        <w:t xml:space="preserve">vrátil </w:t>
      </w:r>
      <w:r w:rsidRPr="00C64CA6" w:rsidR="0095280D">
        <w:rPr>
          <w:i/>
          <w:iCs/>
        </w:rPr>
        <w:t xml:space="preserve">i </w:t>
      </w:r>
      <w:r w:rsidRPr="00C64CA6" w:rsidR="00DA6F44">
        <w:rPr>
          <w:i/>
          <w:iCs/>
        </w:rPr>
        <w:t xml:space="preserve">sektor </w:t>
      </w:r>
      <w:r w:rsidRPr="00C64CA6" w:rsidR="00C873A9">
        <w:rPr>
          <w:i/>
          <w:iCs/>
        </w:rPr>
        <w:t>g</w:t>
      </w:r>
      <w:r w:rsidRPr="00C64CA6" w:rsidR="00DA6F44">
        <w:rPr>
          <w:i/>
          <w:iCs/>
        </w:rPr>
        <w:t>astronomie</w:t>
      </w:r>
      <w:r w:rsidRPr="00C64CA6" w:rsidR="00C873A9">
        <w:rPr>
          <w:i/>
          <w:iCs/>
        </w:rPr>
        <w:t xml:space="preserve">, který </w:t>
      </w:r>
      <w:r w:rsidRPr="00C64CA6" w:rsidR="00B073A5">
        <w:rPr>
          <w:i/>
          <w:iCs/>
        </w:rPr>
        <w:t>ve srovnání s rokem</w:t>
      </w:r>
      <w:r w:rsidRPr="00C64CA6" w:rsidR="00A52875">
        <w:rPr>
          <w:i/>
          <w:iCs/>
        </w:rPr>
        <w:t xml:space="preserve"> 2019 </w:t>
      </w:r>
      <w:r w:rsidRPr="00C64CA6" w:rsidR="00C873A9">
        <w:rPr>
          <w:i/>
          <w:iCs/>
        </w:rPr>
        <w:t>dosáhl</w:t>
      </w:r>
      <w:r w:rsidRPr="00C64CA6" w:rsidR="00DA6F44">
        <w:rPr>
          <w:i/>
          <w:iCs/>
        </w:rPr>
        <w:t xml:space="preserve"> 13% </w:t>
      </w:r>
      <w:r w:rsidRPr="00C64CA6" w:rsidR="00C873A9">
        <w:rPr>
          <w:i/>
          <w:iCs/>
        </w:rPr>
        <w:t>zlepšení</w:t>
      </w:r>
      <w:r w:rsidRPr="00C64CA6" w:rsidR="0040093E">
        <w:rPr>
          <w:i/>
          <w:iCs/>
        </w:rPr>
        <w:t>.</w:t>
      </w:r>
      <w:r w:rsidRPr="00C64CA6" w:rsidR="00C873A9">
        <w:rPr>
          <w:i/>
          <w:iCs/>
        </w:rPr>
        <w:t>“</w:t>
      </w:r>
      <w:r w:rsidRPr="00C64CA6" w:rsidR="00C873A9">
        <w:t xml:space="preserve"> </w:t>
      </w:r>
      <w:r w:rsidRPr="00C64CA6" w:rsidR="002E0C8E">
        <w:t xml:space="preserve">Prestižní sektor módy sice zaznamenal 1% pokles obratů oproti 2019, nicméně při srovnání s předchozími </w:t>
      </w:r>
      <w:r w:rsidRPr="00C64CA6" w:rsidR="00266221">
        <w:t xml:space="preserve">dvěma </w:t>
      </w:r>
      <w:r w:rsidRPr="00C64CA6" w:rsidR="006647A6">
        <w:t>roky</w:t>
      </w:r>
      <w:r w:rsidRPr="00C64CA6" w:rsidR="002E0C8E">
        <w:t xml:space="preserve"> jde o výrazn</w:t>
      </w:r>
      <w:r w:rsidR="006B70CD">
        <w:t>ý po</w:t>
      </w:r>
      <w:r w:rsidR="00F71F95">
        <w:t>sun k lepšímu</w:t>
      </w:r>
      <w:r w:rsidRPr="00C64CA6" w:rsidR="002E0C8E">
        <w:t>. K podkategoriím s nejlepší dynamikou patřily móda pro</w:t>
      </w:r>
      <w:r w:rsidRPr="00C64CA6" w:rsidR="005810C8">
        <w:t> </w:t>
      </w:r>
      <w:r w:rsidRPr="00C64CA6" w:rsidR="002E0C8E">
        <w:t>mladé (+9 %) a pro muže (+12 %). Naopak obchody</w:t>
      </w:r>
      <w:r w:rsidRPr="00C64CA6" w:rsidR="00C5201A">
        <w:t xml:space="preserve"> specializované </w:t>
      </w:r>
      <w:r w:rsidRPr="00C64CA6" w:rsidR="006647A6">
        <w:t>na</w:t>
      </w:r>
      <w:r w:rsidR="00A60DF9">
        <w:t> </w:t>
      </w:r>
      <w:r w:rsidRPr="00C64CA6" w:rsidR="002E0C8E">
        <w:t xml:space="preserve">oblečení a doplňky pro ženy, jimž stále více konkurují </w:t>
      </w:r>
      <w:r w:rsidRPr="00C64CA6" w:rsidR="00C5201A">
        <w:t xml:space="preserve">značky </w:t>
      </w:r>
      <w:r w:rsidRPr="00C64CA6" w:rsidR="002E0C8E">
        <w:t>se smíšenou módou nabízející dámské kolekce, měly nejslabší vývoj (-24 %).</w:t>
      </w:r>
      <w:r w:rsidR="002E0C8E">
        <w:t xml:space="preserve"> </w:t>
      </w:r>
    </w:p>
    <w:p w:rsidR="002E0C8E" w:rsidP="002E0C8E" w:rsidRDefault="002E0C8E" w14:paraId="2A4D3683" w14:textId="77777777">
      <w:pPr>
        <w:pStyle w:val="BodyCopy"/>
        <w:jc w:val="both"/>
      </w:pPr>
    </w:p>
    <w:p w:rsidRPr="005810C8" w:rsidR="002E0C8E" w:rsidP="002E0C8E" w:rsidRDefault="002E0C8E" w14:paraId="6202C2CF" w14:textId="7A327C26">
      <w:pPr>
        <w:pStyle w:val="BodyCopy"/>
        <w:jc w:val="both"/>
        <w:rPr>
          <w:i/>
          <w:iCs/>
        </w:rPr>
      </w:pPr>
      <w:r w:rsidRPr="005B1B8F">
        <w:rPr>
          <w:i/>
          <w:iCs/>
        </w:rPr>
        <w:t>„</w:t>
      </w:r>
      <w:r w:rsidRPr="005B1B8F" w:rsidR="009F20F1">
        <w:rPr>
          <w:i/>
          <w:iCs/>
        </w:rPr>
        <w:t xml:space="preserve">Obecně </w:t>
      </w:r>
      <w:r w:rsidRPr="005B1B8F" w:rsidR="00C5201A">
        <w:rPr>
          <w:i/>
          <w:iCs/>
        </w:rPr>
        <w:t>p</w:t>
      </w:r>
      <w:r w:rsidRPr="005B1B8F">
        <w:rPr>
          <w:i/>
          <w:iCs/>
        </w:rPr>
        <w:t xml:space="preserve">ozitivní trend ve zvyšování obratů potvrzují i výsledky našeho </w:t>
      </w:r>
      <w:r w:rsidRPr="005B1B8F" w:rsidR="00266221">
        <w:rPr>
          <w:i/>
          <w:iCs/>
        </w:rPr>
        <w:t>k</w:t>
      </w:r>
      <w:r w:rsidRPr="005B1B8F" w:rsidR="009F20F1">
        <w:rPr>
          <w:i/>
          <w:iCs/>
        </w:rPr>
        <w:t xml:space="preserve">větnového </w:t>
      </w:r>
      <w:r w:rsidRPr="005B1B8F">
        <w:rPr>
          <w:i/>
          <w:iCs/>
        </w:rPr>
        <w:t xml:space="preserve">průzkumu mezi maloobchodníky. Ty ukazují, že 70 % </w:t>
      </w:r>
      <w:proofErr w:type="spellStart"/>
      <w:r w:rsidRPr="005B1B8F">
        <w:rPr>
          <w:i/>
          <w:iCs/>
        </w:rPr>
        <w:t>retailerů</w:t>
      </w:r>
      <w:proofErr w:type="spellEnd"/>
      <w:r w:rsidRPr="005B1B8F">
        <w:rPr>
          <w:i/>
          <w:iCs/>
        </w:rPr>
        <w:t xml:space="preserve"> aktuálně dosahuje 100</w:t>
      </w:r>
      <w:r w:rsidRPr="005B1B8F" w:rsidR="007E2990">
        <w:rPr>
          <w:i/>
          <w:iCs/>
        </w:rPr>
        <w:t>-</w:t>
      </w:r>
      <w:r w:rsidRPr="005B1B8F">
        <w:rPr>
          <w:i/>
          <w:iCs/>
        </w:rPr>
        <w:t>120% úrovně tržeb z roku 2019,“</w:t>
      </w:r>
      <w:r w:rsidRPr="005B1B8F">
        <w:t xml:space="preserve"> říká </w:t>
      </w:r>
      <w:r w:rsidRPr="005B1B8F">
        <w:rPr>
          <w:b/>
          <w:bCs/>
        </w:rPr>
        <w:t>Jan Janáček</w:t>
      </w:r>
      <w:r w:rsidRPr="005B1B8F">
        <w:rPr>
          <w:rStyle w:val="Siln"/>
        </w:rPr>
        <w:t>, vedoucí retail sektoru a oddělení maloobchodních pronájmů v CBRE</w:t>
      </w:r>
      <w:r w:rsidRPr="005B1B8F">
        <w:rPr>
          <w:rStyle w:val="Siln"/>
          <w:b w:val="0"/>
          <w:bCs w:val="0"/>
        </w:rPr>
        <w:t>, a</w:t>
      </w:r>
      <w:r w:rsidRPr="005B1B8F" w:rsidR="00511AA9">
        <w:rPr>
          <w:rStyle w:val="Siln"/>
          <w:b w:val="0"/>
          <w:bCs w:val="0"/>
        </w:rPr>
        <w:t> </w:t>
      </w:r>
      <w:r w:rsidRPr="005B1B8F">
        <w:rPr>
          <w:rStyle w:val="Siln"/>
          <w:b w:val="0"/>
          <w:bCs w:val="0"/>
        </w:rPr>
        <w:t xml:space="preserve">doplňuje: </w:t>
      </w:r>
      <w:r w:rsidRPr="005B1B8F">
        <w:rPr>
          <w:rStyle w:val="Siln"/>
          <w:b w:val="0"/>
          <w:bCs w:val="0"/>
          <w:i/>
          <w:iCs/>
        </w:rPr>
        <w:t xml:space="preserve">„Nicméně </w:t>
      </w:r>
      <w:r w:rsidRPr="005B1B8F">
        <w:rPr>
          <w:i/>
          <w:iCs/>
        </w:rPr>
        <w:t>bezbřehý optimismus mírní dlouhodobý nárůst provozních nákladů na straně jedné a obava ze</w:t>
      </w:r>
      <w:r w:rsidRPr="005B1B8F" w:rsidR="005810C8">
        <w:rPr>
          <w:i/>
          <w:iCs/>
        </w:rPr>
        <w:t> </w:t>
      </w:r>
      <w:r w:rsidRPr="005B1B8F">
        <w:rPr>
          <w:i/>
          <w:iCs/>
        </w:rPr>
        <w:t>ztráty zákazníka, potažmo jeho snížen</w:t>
      </w:r>
      <w:r w:rsidRPr="005B1B8F" w:rsidR="006B70CD">
        <w:rPr>
          <w:i/>
          <w:iCs/>
        </w:rPr>
        <w:t>é</w:t>
      </w:r>
      <w:r w:rsidRPr="005B1B8F">
        <w:rPr>
          <w:i/>
          <w:iCs/>
        </w:rPr>
        <w:t xml:space="preserve"> kupní síl</w:t>
      </w:r>
      <w:r w:rsidRPr="005B1B8F" w:rsidR="006B70CD">
        <w:rPr>
          <w:i/>
          <w:iCs/>
        </w:rPr>
        <w:t>y</w:t>
      </w:r>
      <w:r w:rsidRPr="005B1B8F" w:rsidR="007E2990">
        <w:rPr>
          <w:i/>
          <w:iCs/>
        </w:rPr>
        <w:t xml:space="preserve">, </w:t>
      </w:r>
      <w:r w:rsidRPr="005B1B8F">
        <w:rPr>
          <w:i/>
          <w:iCs/>
        </w:rPr>
        <w:t xml:space="preserve">na straně druhé. I </w:t>
      </w:r>
      <w:r w:rsidRPr="005B1B8F" w:rsidR="005B39DC">
        <w:rPr>
          <w:i/>
          <w:iCs/>
        </w:rPr>
        <w:t xml:space="preserve">proto stojí za pozornost </w:t>
      </w:r>
      <w:r w:rsidRPr="005B1B8F">
        <w:rPr>
          <w:i/>
          <w:iCs/>
        </w:rPr>
        <w:t xml:space="preserve">přístup maloobchodníků ke zvyšování cen. Překvapivé je zjištění, že i přes vyšší inflaci v ČR, zdejší maloobchod s výjimkou potravin </w:t>
      </w:r>
      <w:r w:rsidRPr="005B1B8F" w:rsidR="006B70CD">
        <w:rPr>
          <w:i/>
          <w:iCs/>
        </w:rPr>
        <w:t>zdražoval</w:t>
      </w:r>
      <w:r w:rsidRPr="005B1B8F">
        <w:rPr>
          <w:i/>
          <w:iCs/>
        </w:rPr>
        <w:t xml:space="preserve"> méně razantně než </w:t>
      </w:r>
      <w:proofErr w:type="spellStart"/>
      <w:r w:rsidRPr="005B1B8F">
        <w:rPr>
          <w:i/>
          <w:iCs/>
        </w:rPr>
        <w:t>retaileři</w:t>
      </w:r>
      <w:proofErr w:type="spellEnd"/>
      <w:r w:rsidRPr="005B1B8F">
        <w:rPr>
          <w:i/>
          <w:iCs/>
        </w:rPr>
        <w:t xml:space="preserve"> v</w:t>
      </w:r>
      <w:r w:rsidRPr="005B1B8F" w:rsidR="00651367">
        <w:rPr>
          <w:i/>
          <w:iCs/>
        </w:rPr>
        <w:t xml:space="preserve"> regionu </w:t>
      </w:r>
      <w:r w:rsidRPr="005B1B8F" w:rsidR="006B70CD">
        <w:rPr>
          <w:i/>
          <w:iCs/>
        </w:rPr>
        <w:t>střední a východní Evropy</w:t>
      </w:r>
      <w:r w:rsidRPr="005B1B8F">
        <w:rPr>
          <w:i/>
          <w:iCs/>
        </w:rPr>
        <w:t xml:space="preserve">. Konkrétně 42 % dotázaných značek </w:t>
      </w:r>
      <w:r w:rsidRPr="005B1B8F" w:rsidR="00651367">
        <w:rPr>
          <w:i/>
          <w:iCs/>
        </w:rPr>
        <w:t xml:space="preserve">působících v tuzemsku </w:t>
      </w:r>
      <w:r w:rsidRPr="005B1B8F">
        <w:rPr>
          <w:i/>
          <w:iCs/>
        </w:rPr>
        <w:t>zvýšilo své ceny v rozmezí od 10 do 15</w:t>
      </w:r>
      <w:r w:rsidRPr="005B1B8F" w:rsidR="005810C8">
        <w:rPr>
          <w:i/>
          <w:iCs/>
        </w:rPr>
        <w:t> </w:t>
      </w:r>
      <w:r w:rsidRPr="005B1B8F">
        <w:rPr>
          <w:i/>
          <w:iCs/>
        </w:rPr>
        <w:t xml:space="preserve">%, </w:t>
      </w:r>
      <w:r w:rsidRPr="005B1B8F" w:rsidR="00651367">
        <w:rPr>
          <w:i/>
          <w:iCs/>
        </w:rPr>
        <w:t>zatímco</w:t>
      </w:r>
      <w:r w:rsidRPr="005B1B8F">
        <w:rPr>
          <w:i/>
          <w:iCs/>
        </w:rPr>
        <w:t xml:space="preserve"> značky v regionu CEE o 15 až 20 %. </w:t>
      </w:r>
      <w:r w:rsidRPr="005B1B8F" w:rsidR="007E2990">
        <w:rPr>
          <w:i/>
          <w:iCs/>
        </w:rPr>
        <w:t xml:space="preserve">Současně </w:t>
      </w:r>
      <w:r w:rsidRPr="005B1B8F" w:rsidR="005B39DC">
        <w:rPr>
          <w:i/>
          <w:iCs/>
        </w:rPr>
        <w:t xml:space="preserve">necelá čtvrtina zvýšila </w:t>
      </w:r>
      <w:r w:rsidRPr="005B1B8F">
        <w:rPr>
          <w:i/>
          <w:iCs/>
        </w:rPr>
        <w:t>ceny</w:t>
      </w:r>
      <w:r w:rsidRPr="005B1B8F" w:rsidR="00651367">
        <w:rPr>
          <w:i/>
          <w:iCs/>
        </w:rPr>
        <w:t xml:space="preserve"> </w:t>
      </w:r>
      <w:r w:rsidRPr="005B1B8F">
        <w:rPr>
          <w:i/>
          <w:iCs/>
        </w:rPr>
        <w:t xml:space="preserve">nad úroveň 20 %, k čemuž nepřistoupil </w:t>
      </w:r>
      <w:r w:rsidRPr="005B1B8F" w:rsidR="00C53591">
        <w:rPr>
          <w:i/>
          <w:iCs/>
        </w:rPr>
        <w:t xml:space="preserve">nikdo </w:t>
      </w:r>
      <w:r w:rsidRPr="005B1B8F" w:rsidR="00CA5C24">
        <w:rPr>
          <w:i/>
          <w:iCs/>
        </w:rPr>
        <w:t>z českých respondentů</w:t>
      </w:r>
      <w:r w:rsidRPr="005B1B8F">
        <w:rPr>
          <w:i/>
          <w:iCs/>
        </w:rPr>
        <w:t>.“</w:t>
      </w:r>
      <w:r>
        <w:t xml:space="preserve">  </w:t>
      </w:r>
    </w:p>
    <w:p w:rsidR="00B01258" w:rsidP="002E0C8E" w:rsidRDefault="00B01258" w14:paraId="4D630C58" w14:textId="6AB43461">
      <w:pPr>
        <w:pStyle w:val="BodyCopy"/>
        <w:jc w:val="both"/>
      </w:pPr>
    </w:p>
    <w:p w:rsidR="00B01258" w:rsidP="00B01258" w:rsidRDefault="00B01258" w14:paraId="60F6B5CD" w14:textId="1BD95C7A">
      <w:pPr>
        <w:pStyle w:val="BodyCopy"/>
        <w:jc w:val="both"/>
      </w:pPr>
      <w:r w:rsidRPr="000D55A6">
        <w:t xml:space="preserve">A toto rozhodnutí </w:t>
      </w:r>
      <w:r w:rsidRPr="000D55A6" w:rsidR="00BD1A14">
        <w:t xml:space="preserve">se ukazuje jako </w:t>
      </w:r>
      <w:r w:rsidRPr="000D55A6">
        <w:t xml:space="preserve">správné, protože </w:t>
      </w:r>
      <w:r w:rsidRPr="000D55A6" w:rsidR="00C53591">
        <w:t>tuzemský</w:t>
      </w:r>
      <w:r w:rsidRPr="000D55A6">
        <w:t xml:space="preserve"> zákazník je </w:t>
      </w:r>
      <w:r w:rsidRPr="000D55A6" w:rsidR="0044353B">
        <w:t xml:space="preserve">na cenu </w:t>
      </w:r>
      <w:r w:rsidRPr="000D55A6">
        <w:t xml:space="preserve">velmi citlivý. </w:t>
      </w:r>
      <w:r w:rsidRPr="000D55A6">
        <w:rPr>
          <w:i/>
          <w:iCs/>
        </w:rPr>
        <w:t>„</w:t>
      </w:r>
      <w:r w:rsidRPr="000D55A6" w:rsidR="00A16192">
        <w:rPr>
          <w:i/>
          <w:iCs/>
        </w:rPr>
        <w:t>Současné zvyšování cen ovlivňuje nákupní rozhodování 96</w:t>
      </w:r>
      <w:r w:rsidRPr="000D55A6" w:rsidR="003D21FA">
        <w:rPr>
          <w:i/>
          <w:iCs/>
        </w:rPr>
        <w:t xml:space="preserve"> </w:t>
      </w:r>
      <w:r w:rsidRPr="000D55A6" w:rsidR="00A16192">
        <w:rPr>
          <w:i/>
          <w:iCs/>
        </w:rPr>
        <w:t xml:space="preserve">% respondentů. </w:t>
      </w:r>
      <w:r w:rsidRPr="000D55A6">
        <w:rPr>
          <w:i/>
          <w:iCs/>
        </w:rPr>
        <w:t xml:space="preserve">Bez ohledu na pohlaví, věk anebo region je zřejmé, že cena hraje významnou roli. Většina </w:t>
      </w:r>
      <w:r w:rsidRPr="000D55A6" w:rsidR="00C53591">
        <w:rPr>
          <w:i/>
          <w:iCs/>
        </w:rPr>
        <w:t xml:space="preserve">dotazovaných </w:t>
      </w:r>
      <w:r w:rsidRPr="000D55A6">
        <w:rPr>
          <w:i/>
          <w:iCs/>
        </w:rPr>
        <w:t>uvedla, že</w:t>
      </w:r>
      <w:r w:rsidRPr="000D55A6" w:rsidR="007E2990">
        <w:rPr>
          <w:i/>
          <w:iCs/>
        </w:rPr>
        <w:t xml:space="preserve"> momentálně </w:t>
      </w:r>
      <w:r w:rsidRPr="000D55A6" w:rsidR="00BD1A14">
        <w:rPr>
          <w:i/>
          <w:iCs/>
        </w:rPr>
        <w:t xml:space="preserve">nejvíce </w:t>
      </w:r>
      <w:r w:rsidRPr="000D55A6">
        <w:rPr>
          <w:i/>
          <w:iCs/>
        </w:rPr>
        <w:t xml:space="preserve">omezuje výdaje v restauracích, rychlém občerstvení </w:t>
      </w:r>
      <w:r w:rsidRPr="000D55A6" w:rsidR="00A66433">
        <w:rPr>
          <w:i/>
          <w:iCs/>
        </w:rPr>
        <w:t>či</w:t>
      </w:r>
      <w:r w:rsidRPr="000D55A6" w:rsidR="005810C8">
        <w:rPr>
          <w:i/>
          <w:iCs/>
        </w:rPr>
        <w:t> </w:t>
      </w:r>
      <w:r w:rsidRPr="000D55A6">
        <w:rPr>
          <w:i/>
          <w:iCs/>
        </w:rPr>
        <w:t>kavárnách (83 % respondentů)</w:t>
      </w:r>
      <w:r w:rsidRPr="000D55A6" w:rsidR="00A66433">
        <w:rPr>
          <w:i/>
          <w:iCs/>
        </w:rPr>
        <w:t xml:space="preserve"> a v </w:t>
      </w:r>
      <w:r w:rsidRPr="000D55A6">
        <w:rPr>
          <w:i/>
          <w:iCs/>
        </w:rPr>
        <w:t>kinech (80 %)</w:t>
      </w:r>
      <w:r w:rsidRPr="000D55A6" w:rsidR="00A66433">
        <w:rPr>
          <w:i/>
          <w:iCs/>
        </w:rPr>
        <w:t xml:space="preserve">. </w:t>
      </w:r>
      <w:r w:rsidRPr="000D55A6">
        <w:rPr>
          <w:i/>
          <w:iCs/>
        </w:rPr>
        <w:t xml:space="preserve">Růst cen </w:t>
      </w:r>
      <w:r w:rsidRPr="000D55A6" w:rsidR="736E8455">
        <w:rPr>
          <w:i/>
          <w:iCs/>
        </w:rPr>
        <w:lastRenderedPageBreak/>
        <w:t xml:space="preserve">přispívá rovněž ke zvýšenému zájmu </w:t>
      </w:r>
      <w:r w:rsidRPr="000D55A6" w:rsidR="007E2990">
        <w:rPr>
          <w:i/>
          <w:iCs/>
        </w:rPr>
        <w:t>o</w:t>
      </w:r>
      <w:r w:rsidRPr="000D55A6">
        <w:rPr>
          <w:i/>
          <w:iCs/>
        </w:rPr>
        <w:t xml:space="preserve"> věrnostní program</w:t>
      </w:r>
      <w:r w:rsidRPr="000D55A6" w:rsidR="502B359C">
        <w:rPr>
          <w:i/>
          <w:iCs/>
        </w:rPr>
        <w:t>y</w:t>
      </w:r>
      <w:r w:rsidRPr="000D55A6">
        <w:rPr>
          <w:i/>
          <w:iCs/>
        </w:rPr>
        <w:t>.</w:t>
      </w:r>
      <w:r w:rsidRPr="000D55A6" w:rsidR="009755A6">
        <w:rPr>
          <w:i/>
          <w:iCs/>
        </w:rPr>
        <w:t xml:space="preserve"> </w:t>
      </w:r>
      <w:r w:rsidRPr="000D55A6" w:rsidR="00A66433">
        <w:rPr>
          <w:i/>
          <w:iCs/>
        </w:rPr>
        <w:t>V</w:t>
      </w:r>
      <w:r w:rsidRPr="000D55A6">
        <w:rPr>
          <w:i/>
          <w:iCs/>
        </w:rPr>
        <w:t xml:space="preserve">yužívá </w:t>
      </w:r>
      <w:r w:rsidRPr="000D55A6" w:rsidR="007E2990">
        <w:rPr>
          <w:i/>
          <w:iCs/>
        </w:rPr>
        <w:t>je</w:t>
      </w:r>
      <w:r w:rsidRPr="000D55A6" w:rsidR="00A66433">
        <w:rPr>
          <w:i/>
          <w:iCs/>
        </w:rPr>
        <w:t xml:space="preserve"> </w:t>
      </w:r>
      <w:r w:rsidRPr="000D55A6" w:rsidR="007E2990">
        <w:rPr>
          <w:i/>
          <w:iCs/>
        </w:rPr>
        <w:t>n</w:t>
      </w:r>
      <w:r w:rsidRPr="000D55A6" w:rsidR="00BD1A14">
        <w:rPr>
          <w:i/>
          <w:iCs/>
        </w:rPr>
        <w:t>aprostá většina (</w:t>
      </w:r>
      <w:r w:rsidRPr="000D55A6">
        <w:rPr>
          <w:i/>
          <w:iCs/>
        </w:rPr>
        <w:t>93 %</w:t>
      </w:r>
      <w:r w:rsidRPr="000D55A6" w:rsidR="00BD1A14">
        <w:rPr>
          <w:i/>
          <w:iCs/>
        </w:rPr>
        <w:t>)</w:t>
      </w:r>
      <w:r w:rsidRPr="000D55A6">
        <w:rPr>
          <w:i/>
          <w:iCs/>
        </w:rPr>
        <w:t xml:space="preserve"> respondentů, což je o </w:t>
      </w:r>
      <w:r w:rsidR="006B70CD">
        <w:rPr>
          <w:i/>
          <w:iCs/>
        </w:rPr>
        <w:t>deset</w:t>
      </w:r>
      <w:r w:rsidRPr="000D55A6" w:rsidR="006B70CD">
        <w:rPr>
          <w:i/>
          <w:iCs/>
        </w:rPr>
        <w:t xml:space="preserve"> </w:t>
      </w:r>
      <w:r w:rsidRPr="000D55A6" w:rsidR="0A98953B">
        <w:rPr>
          <w:i/>
          <w:iCs/>
        </w:rPr>
        <w:t>procentních bodů</w:t>
      </w:r>
      <w:r w:rsidRPr="000D55A6">
        <w:rPr>
          <w:i/>
          <w:iCs/>
        </w:rPr>
        <w:t xml:space="preserve"> více než</w:t>
      </w:r>
      <w:r w:rsidRPr="000D55A6" w:rsidR="005810C8">
        <w:rPr>
          <w:i/>
          <w:iCs/>
        </w:rPr>
        <w:t> </w:t>
      </w:r>
      <w:r w:rsidRPr="000D55A6">
        <w:rPr>
          <w:i/>
          <w:iCs/>
        </w:rPr>
        <w:t>v</w:t>
      </w:r>
      <w:r w:rsidRPr="000D55A6" w:rsidR="009755A6">
        <w:rPr>
          <w:i/>
          <w:iCs/>
        </w:rPr>
        <w:t>loni</w:t>
      </w:r>
      <w:r w:rsidRPr="000D55A6" w:rsidR="00A66433">
        <w:rPr>
          <w:i/>
          <w:iCs/>
        </w:rPr>
        <w:t>,“</w:t>
      </w:r>
      <w:r w:rsidRPr="000D55A6" w:rsidR="00A66433">
        <w:t xml:space="preserve"> doplňuje </w:t>
      </w:r>
      <w:r w:rsidRPr="000D55A6" w:rsidR="00A66433">
        <w:rPr>
          <w:b/>
          <w:bCs/>
        </w:rPr>
        <w:t>Michaela Šoková</w:t>
      </w:r>
      <w:r w:rsidRPr="000D55A6" w:rsidR="00A66433">
        <w:t>.</w:t>
      </w:r>
    </w:p>
    <w:p w:rsidR="002E0C8E" w:rsidP="002E0C8E" w:rsidRDefault="002E0C8E" w14:paraId="39BE97D2" w14:textId="77777777">
      <w:pPr>
        <w:pStyle w:val="BodyCopy"/>
        <w:jc w:val="both"/>
      </w:pPr>
    </w:p>
    <w:p w:rsidRPr="006208D3" w:rsidR="00DA6F44" w:rsidP="00DA6F44" w:rsidRDefault="00A77D59" w14:paraId="71510288" w14:textId="5B0A98CB">
      <w:pPr>
        <w:pStyle w:val="BodyCopy"/>
        <w:jc w:val="both"/>
        <w:rPr>
          <w:b/>
          <w:bCs/>
        </w:rPr>
      </w:pPr>
      <w:r w:rsidRPr="006208D3">
        <w:rPr>
          <w:b/>
          <w:bCs/>
        </w:rPr>
        <w:t>Růst nájemného zaznamenaly všechny sektory</w:t>
      </w:r>
    </w:p>
    <w:p w:rsidRPr="006208D3" w:rsidR="00DA6F44" w:rsidP="00DA6F44" w:rsidRDefault="00DA6F44" w14:paraId="1EB2A956" w14:textId="54F27D33">
      <w:pPr>
        <w:pStyle w:val="BodyCopy"/>
        <w:jc w:val="both"/>
      </w:pPr>
      <w:r w:rsidRPr="006208D3">
        <w:t xml:space="preserve">Průměrný meziroční růst nájemného </w:t>
      </w:r>
      <w:r w:rsidRPr="006208D3" w:rsidR="004208A1">
        <w:t xml:space="preserve">v regionálních </w:t>
      </w:r>
      <w:r w:rsidRPr="006208D3" w:rsidR="00381083">
        <w:t xml:space="preserve">OC </w:t>
      </w:r>
      <w:r w:rsidRPr="006208D3">
        <w:t xml:space="preserve">v roce 2022 </w:t>
      </w:r>
      <w:r w:rsidRPr="006208D3" w:rsidR="00195D90">
        <w:t xml:space="preserve">činil </w:t>
      </w:r>
      <w:r w:rsidRPr="006208D3">
        <w:t>4,9 %</w:t>
      </w:r>
      <w:r w:rsidRPr="006208D3" w:rsidR="00381F9C">
        <w:t xml:space="preserve"> a</w:t>
      </w:r>
      <w:r w:rsidRPr="006208D3" w:rsidR="00B86FC2">
        <w:t xml:space="preserve"> </w:t>
      </w:r>
      <w:r w:rsidRPr="006208D3" w:rsidR="00195D90">
        <w:t xml:space="preserve">pohyboval </w:t>
      </w:r>
      <w:r w:rsidRPr="006208D3" w:rsidR="00381F9C">
        <w:t xml:space="preserve">se tak </w:t>
      </w:r>
      <w:r w:rsidRPr="006208D3">
        <w:t xml:space="preserve">nad hladinou </w:t>
      </w:r>
      <w:r w:rsidRPr="006208D3" w:rsidR="00195D90">
        <w:t>evropské i české indexace.</w:t>
      </w:r>
      <w:r w:rsidRPr="006208D3" w:rsidR="006D0593">
        <w:t xml:space="preserve"> </w:t>
      </w:r>
      <w:r w:rsidRPr="006208D3" w:rsidR="00195D90">
        <w:t xml:space="preserve">To </w:t>
      </w:r>
      <w:r w:rsidRPr="006208D3">
        <w:t>by za standar</w:t>
      </w:r>
      <w:r w:rsidRPr="006208D3" w:rsidR="00381F9C">
        <w:t>d</w:t>
      </w:r>
      <w:r w:rsidRPr="006208D3">
        <w:t xml:space="preserve">ních podmínek naznačovalo </w:t>
      </w:r>
      <w:r w:rsidRPr="006208D3" w:rsidR="006D0593">
        <w:t>u nově</w:t>
      </w:r>
      <w:r w:rsidRPr="006208D3">
        <w:t xml:space="preserve"> </w:t>
      </w:r>
      <w:r w:rsidRPr="006208D3" w:rsidR="006D0593">
        <w:t>u</w:t>
      </w:r>
      <w:r w:rsidRPr="006208D3">
        <w:t>zavřených smluv</w:t>
      </w:r>
      <w:r w:rsidRPr="006208D3" w:rsidR="004208A1">
        <w:t xml:space="preserve"> </w:t>
      </w:r>
      <w:r w:rsidRPr="006208D3" w:rsidR="00381F9C">
        <w:t xml:space="preserve">nárůst </w:t>
      </w:r>
      <w:r w:rsidRPr="006208D3" w:rsidR="006D0593">
        <w:t xml:space="preserve">o cca </w:t>
      </w:r>
      <w:r w:rsidRPr="006208D3" w:rsidR="00381083">
        <w:t>10 %</w:t>
      </w:r>
      <w:r w:rsidRPr="006208D3" w:rsidR="004208A1">
        <w:t>, n</w:t>
      </w:r>
      <w:r w:rsidRPr="006208D3">
        <w:t>icméně do loňsk</w:t>
      </w:r>
      <w:r w:rsidRPr="006208D3" w:rsidR="00381F9C">
        <w:t xml:space="preserve">ých cen </w:t>
      </w:r>
      <w:r w:rsidRPr="006208D3">
        <w:t>se částečně promítly</w:t>
      </w:r>
      <w:r w:rsidRPr="006208D3" w:rsidR="00381083">
        <w:t xml:space="preserve"> i</w:t>
      </w:r>
      <w:r w:rsidRPr="006208D3">
        <w:t xml:space="preserve"> slevy na</w:t>
      </w:r>
      <w:r w:rsidRPr="006208D3" w:rsidR="005810C8">
        <w:t> </w:t>
      </w:r>
      <w:r w:rsidRPr="006208D3">
        <w:t xml:space="preserve">nájemném </w:t>
      </w:r>
      <w:r w:rsidRPr="006208D3" w:rsidR="00195D90">
        <w:t>z roku</w:t>
      </w:r>
      <w:r w:rsidRPr="006208D3">
        <w:t xml:space="preserve"> 2021</w:t>
      </w:r>
      <w:r w:rsidRPr="006208D3" w:rsidR="00381F9C">
        <w:t xml:space="preserve">. </w:t>
      </w:r>
      <w:r w:rsidRPr="006208D3" w:rsidR="00B86FC2">
        <w:t>Z toho důvodu</w:t>
      </w:r>
      <w:r w:rsidRPr="006208D3">
        <w:t xml:space="preserve"> průměrné nájemné </w:t>
      </w:r>
      <w:r w:rsidR="006B70CD">
        <w:t xml:space="preserve">v </w:t>
      </w:r>
      <w:r w:rsidRPr="006208D3" w:rsidR="006B70CD">
        <w:t xml:space="preserve">porovnání s rokem 2019 </w:t>
      </w:r>
      <w:r w:rsidRPr="006208D3">
        <w:t xml:space="preserve">vzrostlo o 4,2 %. </w:t>
      </w:r>
      <w:r w:rsidRPr="006208D3" w:rsidR="00381083">
        <w:rPr>
          <w:i/>
          <w:iCs/>
        </w:rPr>
        <w:t>„</w:t>
      </w:r>
      <w:r w:rsidRPr="006208D3">
        <w:rPr>
          <w:i/>
          <w:iCs/>
        </w:rPr>
        <w:t>Nejvyšší dynamiku s</w:t>
      </w:r>
      <w:r w:rsidR="00A60DF9">
        <w:rPr>
          <w:i/>
          <w:iCs/>
        </w:rPr>
        <w:t> </w:t>
      </w:r>
      <w:r w:rsidRPr="006208D3">
        <w:rPr>
          <w:i/>
          <w:iCs/>
        </w:rPr>
        <w:t>přibližn</w:t>
      </w:r>
      <w:r w:rsidRPr="006208D3" w:rsidR="00195D90">
        <w:rPr>
          <w:i/>
          <w:iCs/>
        </w:rPr>
        <w:t>ě</w:t>
      </w:r>
      <w:r w:rsidRPr="006208D3">
        <w:rPr>
          <w:i/>
          <w:iCs/>
        </w:rPr>
        <w:t xml:space="preserve"> 9% </w:t>
      </w:r>
      <w:r w:rsidRPr="006208D3" w:rsidR="00195D90">
        <w:rPr>
          <w:i/>
          <w:iCs/>
        </w:rPr>
        <w:t>ná</w:t>
      </w:r>
      <w:r w:rsidRPr="006208D3">
        <w:rPr>
          <w:i/>
          <w:iCs/>
        </w:rPr>
        <w:t xml:space="preserve">růstem měly sektory </w:t>
      </w:r>
      <w:r w:rsidRPr="006208D3" w:rsidR="00195D90">
        <w:rPr>
          <w:i/>
          <w:iCs/>
        </w:rPr>
        <w:t>d</w:t>
      </w:r>
      <w:r w:rsidRPr="006208D3">
        <w:rPr>
          <w:i/>
          <w:iCs/>
        </w:rPr>
        <w:t xml:space="preserve">elikates, </w:t>
      </w:r>
      <w:r w:rsidRPr="006208D3" w:rsidR="00195D90">
        <w:rPr>
          <w:i/>
          <w:iCs/>
        </w:rPr>
        <w:t>g</w:t>
      </w:r>
      <w:r w:rsidRPr="006208D3">
        <w:rPr>
          <w:i/>
          <w:iCs/>
        </w:rPr>
        <w:t xml:space="preserve">astronomie a </w:t>
      </w:r>
      <w:r w:rsidRPr="006208D3" w:rsidR="00195D90">
        <w:rPr>
          <w:i/>
          <w:iCs/>
        </w:rPr>
        <w:t>s</w:t>
      </w:r>
      <w:r w:rsidRPr="006208D3">
        <w:rPr>
          <w:i/>
          <w:iCs/>
        </w:rPr>
        <w:t xml:space="preserve">pecializovaného maloobchodu. Zatímco u </w:t>
      </w:r>
      <w:r w:rsidRPr="006208D3" w:rsidR="00195D90">
        <w:rPr>
          <w:i/>
          <w:iCs/>
        </w:rPr>
        <w:t>d</w:t>
      </w:r>
      <w:r w:rsidRPr="006208D3">
        <w:rPr>
          <w:i/>
          <w:iCs/>
        </w:rPr>
        <w:t>elikates šlo</w:t>
      </w:r>
      <w:r w:rsidRPr="006208D3" w:rsidR="00381083">
        <w:rPr>
          <w:i/>
          <w:iCs/>
        </w:rPr>
        <w:t xml:space="preserve"> především o</w:t>
      </w:r>
      <w:r w:rsidRPr="006208D3">
        <w:rPr>
          <w:i/>
          <w:iCs/>
        </w:rPr>
        <w:t xml:space="preserve"> korekci nájmu po loňských slevách, </w:t>
      </w:r>
      <w:r w:rsidRPr="006208D3" w:rsidR="00195D90">
        <w:rPr>
          <w:i/>
          <w:iCs/>
        </w:rPr>
        <w:t>s</w:t>
      </w:r>
      <w:r w:rsidRPr="006208D3">
        <w:rPr>
          <w:i/>
          <w:iCs/>
        </w:rPr>
        <w:t>pecializovaný maloobchod vykazuje růst průměrného nájemného dlouhodobě</w:t>
      </w:r>
      <w:r w:rsidRPr="006208D3" w:rsidR="00381083">
        <w:rPr>
          <w:i/>
          <w:iCs/>
        </w:rPr>
        <w:t xml:space="preserve">. </w:t>
      </w:r>
      <w:r w:rsidRPr="006208D3" w:rsidR="00FB776F">
        <w:rPr>
          <w:i/>
          <w:iCs/>
        </w:rPr>
        <w:t>S</w:t>
      </w:r>
      <w:r w:rsidRPr="006208D3">
        <w:rPr>
          <w:i/>
          <w:iCs/>
        </w:rPr>
        <w:t xml:space="preserve">ektor </w:t>
      </w:r>
      <w:r w:rsidRPr="006208D3" w:rsidR="00A14E70">
        <w:rPr>
          <w:i/>
          <w:iCs/>
        </w:rPr>
        <w:t xml:space="preserve">služeb a </w:t>
      </w:r>
      <w:r w:rsidRPr="006208D3" w:rsidR="00B6040A">
        <w:rPr>
          <w:i/>
          <w:iCs/>
        </w:rPr>
        <w:t>m</w:t>
      </w:r>
      <w:r w:rsidRPr="006208D3">
        <w:rPr>
          <w:i/>
          <w:iCs/>
        </w:rPr>
        <w:t>ódy</w:t>
      </w:r>
      <w:r w:rsidRPr="006208D3" w:rsidR="00A14E70">
        <w:rPr>
          <w:i/>
          <w:iCs/>
        </w:rPr>
        <w:t xml:space="preserve"> zaznamenal shodn</w:t>
      </w:r>
      <w:r w:rsidRPr="006208D3" w:rsidR="00B51E9E">
        <w:rPr>
          <w:i/>
          <w:iCs/>
        </w:rPr>
        <w:t>ě</w:t>
      </w:r>
      <w:r w:rsidRPr="006208D3" w:rsidR="00A14E70">
        <w:rPr>
          <w:i/>
          <w:iCs/>
        </w:rPr>
        <w:t xml:space="preserve"> </w:t>
      </w:r>
      <w:r w:rsidRPr="006208D3" w:rsidR="00662858">
        <w:rPr>
          <w:i/>
          <w:iCs/>
        </w:rPr>
        <w:t>meziročn</w:t>
      </w:r>
      <w:r w:rsidR="00662858">
        <w:rPr>
          <w:i/>
          <w:iCs/>
        </w:rPr>
        <w:t>í</w:t>
      </w:r>
      <w:r w:rsidRPr="006208D3" w:rsidR="00662858">
        <w:rPr>
          <w:i/>
          <w:iCs/>
        </w:rPr>
        <w:t xml:space="preserve"> </w:t>
      </w:r>
      <w:r w:rsidRPr="006208D3" w:rsidR="00B51E9E">
        <w:rPr>
          <w:i/>
          <w:iCs/>
        </w:rPr>
        <w:t>z</w:t>
      </w:r>
      <w:r w:rsidRPr="006208D3" w:rsidR="00A14E70">
        <w:rPr>
          <w:i/>
          <w:iCs/>
        </w:rPr>
        <w:t>výšení o 2</w:t>
      </w:r>
      <w:r w:rsidRPr="006208D3" w:rsidR="003D21FA">
        <w:rPr>
          <w:i/>
          <w:iCs/>
        </w:rPr>
        <w:t> </w:t>
      </w:r>
      <w:r w:rsidRPr="006208D3" w:rsidR="00A14E70">
        <w:rPr>
          <w:i/>
          <w:iCs/>
        </w:rPr>
        <w:t xml:space="preserve">%. </w:t>
      </w:r>
      <w:r w:rsidRPr="006208D3" w:rsidR="00381083">
        <w:rPr>
          <w:i/>
          <w:iCs/>
        </w:rPr>
        <w:t>Ovšem</w:t>
      </w:r>
      <w:r w:rsidRPr="006208D3" w:rsidR="005810C8">
        <w:rPr>
          <w:i/>
          <w:iCs/>
        </w:rPr>
        <w:t> </w:t>
      </w:r>
      <w:r w:rsidRPr="006208D3" w:rsidR="00381083">
        <w:rPr>
          <w:i/>
          <w:iCs/>
        </w:rPr>
        <w:t xml:space="preserve">zatímco průměrné nájmy v sektoru služeb vzrostly </w:t>
      </w:r>
      <w:r w:rsidRPr="006208D3" w:rsidR="00B51E9E">
        <w:rPr>
          <w:i/>
          <w:iCs/>
        </w:rPr>
        <w:t xml:space="preserve">oproti roku 2019 </w:t>
      </w:r>
      <w:r w:rsidRPr="006208D3" w:rsidR="00381083">
        <w:rPr>
          <w:i/>
          <w:iCs/>
        </w:rPr>
        <w:t>o více než 9 %, v se</w:t>
      </w:r>
      <w:r w:rsidRPr="006208D3" w:rsidR="00B51E9E">
        <w:rPr>
          <w:i/>
          <w:iCs/>
        </w:rPr>
        <w:t>gmentu</w:t>
      </w:r>
      <w:r w:rsidRPr="006208D3" w:rsidR="00381083">
        <w:rPr>
          <w:i/>
          <w:iCs/>
        </w:rPr>
        <w:t xml:space="preserve"> módy </w:t>
      </w:r>
      <w:r w:rsidRPr="006208D3" w:rsidR="006D0593">
        <w:rPr>
          <w:i/>
          <w:iCs/>
        </w:rPr>
        <w:t xml:space="preserve">naopak </w:t>
      </w:r>
      <w:r w:rsidRPr="006208D3" w:rsidR="00381083">
        <w:rPr>
          <w:i/>
          <w:iCs/>
        </w:rPr>
        <w:t>pokles</w:t>
      </w:r>
      <w:r w:rsidRPr="006208D3" w:rsidR="00B51E9E">
        <w:rPr>
          <w:i/>
          <w:iCs/>
        </w:rPr>
        <w:t>ly</w:t>
      </w:r>
      <w:r w:rsidRPr="006208D3" w:rsidR="00381083">
        <w:rPr>
          <w:i/>
          <w:iCs/>
        </w:rPr>
        <w:t xml:space="preserve"> o 4 %. </w:t>
      </w:r>
      <w:r w:rsidRPr="006208D3" w:rsidR="00B51E9E">
        <w:rPr>
          <w:i/>
          <w:iCs/>
        </w:rPr>
        <w:t>Důvodem je hlavně dlouhodobý</w:t>
      </w:r>
      <w:r w:rsidRPr="006208D3" w:rsidR="00381083">
        <w:rPr>
          <w:i/>
          <w:iCs/>
        </w:rPr>
        <w:t xml:space="preserve"> tlak na nájemné </w:t>
      </w:r>
      <w:r w:rsidRPr="006208D3" w:rsidR="006D0593">
        <w:rPr>
          <w:i/>
          <w:iCs/>
        </w:rPr>
        <w:t>vyvolaný</w:t>
      </w:r>
      <w:r w:rsidRPr="006208D3" w:rsidR="00381083">
        <w:rPr>
          <w:i/>
          <w:iCs/>
        </w:rPr>
        <w:t xml:space="preserve"> nižší konkurenc</w:t>
      </w:r>
      <w:r w:rsidRPr="006208D3" w:rsidR="00381F9C">
        <w:rPr>
          <w:i/>
          <w:iCs/>
        </w:rPr>
        <w:t>í</w:t>
      </w:r>
      <w:r w:rsidRPr="006208D3" w:rsidR="00381083">
        <w:rPr>
          <w:i/>
          <w:iCs/>
        </w:rPr>
        <w:t xml:space="preserve"> u středně velkých a velkých jednotek tvořených kotevními nájemci,“ </w:t>
      </w:r>
      <w:r w:rsidRPr="006208D3" w:rsidR="00381083">
        <w:t xml:space="preserve">vysvětluje </w:t>
      </w:r>
      <w:r w:rsidRPr="006208D3" w:rsidR="00381083">
        <w:rPr>
          <w:b/>
          <w:bCs/>
        </w:rPr>
        <w:t xml:space="preserve">Klára </w:t>
      </w:r>
      <w:proofErr w:type="spellStart"/>
      <w:r w:rsidRPr="006208D3" w:rsidR="00381083">
        <w:rPr>
          <w:b/>
          <w:bCs/>
        </w:rPr>
        <w:t>Bejblová</w:t>
      </w:r>
      <w:proofErr w:type="spellEnd"/>
      <w:r w:rsidRPr="006208D3" w:rsidR="00381083">
        <w:t xml:space="preserve">. </w:t>
      </w:r>
    </w:p>
    <w:p w:rsidR="00DA6F44" w:rsidP="00DA6F44" w:rsidRDefault="00AF62C1" w14:paraId="2E24BB4F" w14:textId="5FC83F9A">
      <w:pPr>
        <w:pStyle w:val="BodyCopy"/>
        <w:jc w:val="both"/>
      </w:pPr>
      <w:r w:rsidRPr="006208D3">
        <w:br/>
      </w:r>
      <w:r w:rsidRPr="006208D3" w:rsidR="00DA6F44">
        <w:rPr>
          <w:b/>
          <w:bCs/>
        </w:rPr>
        <w:t>Míra neobsazenosti</w:t>
      </w:r>
      <w:r w:rsidRPr="006208D3" w:rsidR="00DA6F44">
        <w:t xml:space="preserve"> v</w:t>
      </w:r>
      <w:r w:rsidRPr="006208D3" w:rsidR="000E0754">
        <w:t> </w:t>
      </w:r>
      <w:r w:rsidRPr="006208D3" w:rsidR="00DA6F44">
        <w:t xml:space="preserve">regionálních nákupních centrech </w:t>
      </w:r>
      <w:r w:rsidRPr="006208D3" w:rsidR="000E0754">
        <w:t xml:space="preserve">v tuzemsku vloni </w:t>
      </w:r>
      <w:r w:rsidRPr="006208D3" w:rsidR="00DA6F44">
        <w:t>nepatrně poklesla z 4,4 % na</w:t>
      </w:r>
      <w:r w:rsidRPr="006208D3" w:rsidR="005810C8">
        <w:t> </w:t>
      </w:r>
      <w:r w:rsidRPr="006208D3" w:rsidR="00DA6F44">
        <w:t>4,1</w:t>
      </w:r>
      <w:r w:rsidRPr="006208D3" w:rsidR="005810C8">
        <w:t> </w:t>
      </w:r>
      <w:r w:rsidRPr="006208D3" w:rsidR="00DA6F44">
        <w:t xml:space="preserve">%. </w:t>
      </w:r>
      <w:r w:rsidRPr="006208D3" w:rsidR="00B6040A">
        <w:t>V</w:t>
      </w:r>
      <w:r w:rsidRPr="006208D3" w:rsidR="00DA6F44">
        <w:t xml:space="preserve"> roce 2019 činila průměrná míra neobsazenosti 3,5 %.</w:t>
      </w:r>
    </w:p>
    <w:p w:rsidR="003E1EF6" w:rsidP="00DA6F44" w:rsidRDefault="003E1EF6" w14:paraId="7135F747" w14:textId="77777777">
      <w:pPr>
        <w:pStyle w:val="BodyCopy"/>
        <w:jc w:val="both"/>
      </w:pPr>
    </w:p>
    <w:p w:rsidRPr="005B1B8F" w:rsidR="008373A2" w:rsidP="00A440EF" w:rsidRDefault="008373A2" w14:paraId="19920EB2" w14:textId="029850B4">
      <w:pPr>
        <w:pStyle w:val="BodyCopy"/>
        <w:jc w:val="both"/>
        <w:rPr>
          <w:b/>
          <w:bCs/>
        </w:rPr>
      </w:pPr>
      <w:r w:rsidRPr="005B1B8F">
        <w:rPr>
          <w:b/>
          <w:bCs/>
        </w:rPr>
        <w:t>Obchodní centra versus online nakupování</w:t>
      </w:r>
      <w:r w:rsidRPr="005B1B8F" w:rsidR="00332928">
        <w:rPr>
          <w:b/>
          <w:bCs/>
        </w:rPr>
        <w:t xml:space="preserve">. Mají kamenné obchody </w:t>
      </w:r>
      <w:r w:rsidRPr="005B1B8F" w:rsidR="002F450A">
        <w:rPr>
          <w:b/>
          <w:bCs/>
        </w:rPr>
        <w:t>důvod</w:t>
      </w:r>
      <w:r w:rsidRPr="005B1B8F" w:rsidR="005810DB">
        <w:rPr>
          <w:b/>
          <w:bCs/>
        </w:rPr>
        <w:t xml:space="preserve"> k obavám</w:t>
      </w:r>
      <w:r w:rsidRPr="005B1B8F" w:rsidR="00332928">
        <w:rPr>
          <w:b/>
          <w:bCs/>
        </w:rPr>
        <w:t>?</w:t>
      </w:r>
    </w:p>
    <w:p w:rsidR="00B12F6F" w:rsidP="00A440EF" w:rsidRDefault="6187E963" w14:paraId="52464DE5" w14:textId="1F69B9C4">
      <w:pPr>
        <w:pStyle w:val="BodyCopy"/>
        <w:jc w:val="both"/>
      </w:pPr>
      <w:r w:rsidRPr="005B1B8F">
        <w:t xml:space="preserve">Pandemie </w:t>
      </w:r>
      <w:r w:rsidRPr="005B1B8F" w:rsidR="2005728F">
        <w:t xml:space="preserve">výrazně </w:t>
      </w:r>
      <w:r w:rsidRPr="005B1B8F">
        <w:t>zvýšila zájem o e</w:t>
      </w:r>
      <w:r w:rsidRPr="005B1B8F" w:rsidR="7C710406">
        <w:t>-</w:t>
      </w:r>
      <w:proofErr w:type="spellStart"/>
      <w:r w:rsidRPr="005B1B8F" w:rsidR="7C710406">
        <w:t>commerce</w:t>
      </w:r>
      <w:proofErr w:type="spellEnd"/>
      <w:r w:rsidRPr="005B1B8F" w:rsidR="7C710406">
        <w:t>.</w:t>
      </w:r>
      <w:r w:rsidRPr="005B1B8F" w:rsidR="26467CEB">
        <w:t xml:space="preserve"> Tuzemský trh je</w:t>
      </w:r>
      <w:r w:rsidRPr="005B1B8F" w:rsidR="17E61B76">
        <w:t> </w:t>
      </w:r>
      <w:r w:rsidRPr="005B1B8F" w:rsidR="26467CEB">
        <w:t>v tomto směru vyspělý</w:t>
      </w:r>
      <w:r w:rsidRPr="005B1B8F" w:rsidR="00662858">
        <w:t>: p</w:t>
      </w:r>
      <w:r w:rsidRPr="005B1B8F" w:rsidR="26467CEB">
        <w:t xml:space="preserve">odíl on-line tržeb na celkových maloobchodních tržbách dosahuje 17 %. </w:t>
      </w:r>
      <w:r w:rsidRPr="005B1B8F" w:rsidR="01134E42">
        <w:t xml:space="preserve">Třetina českých maloobchodníků zúčastněných v průzkumu CBRE hlásí, že podíl on-line tržeb u nich činí mezi 21 a 30 % (versus 11-20 % v regionu CEE). </w:t>
      </w:r>
      <w:r w:rsidRPr="005B1B8F" w:rsidR="688FB56A">
        <w:t>U</w:t>
      </w:r>
      <w:r w:rsidRPr="005B1B8F" w:rsidR="01134E42">
        <w:t xml:space="preserve"> obou skupin rostou nejrychleji segmenty módy a stravování, což ukazuje na nově nabyté nákupní zvyklosti během covidového období.</w:t>
      </w:r>
      <w:r w:rsidRPr="72680D6A" w:rsidR="01134E42">
        <w:rPr>
          <w:i/>
          <w:iCs/>
        </w:rPr>
        <w:t xml:space="preserve"> </w:t>
      </w:r>
      <w:r w:rsidRPr="00C44F85" w:rsidR="26467CEB">
        <w:rPr>
          <w:i/>
          <w:iCs/>
        </w:rPr>
        <w:t>„</w:t>
      </w:r>
      <w:r w:rsidRPr="00C44F85" w:rsidR="688FB56A">
        <w:rPr>
          <w:i/>
          <w:iCs/>
        </w:rPr>
        <w:t xml:space="preserve">Výsledky </w:t>
      </w:r>
      <w:r w:rsidRPr="00C44F85" w:rsidR="694DD2A5">
        <w:rPr>
          <w:i/>
          <w:iCs/>
        </w:rPr>
        <w:t xml:space="preserve">zákaznického </w:t>
      </w:r>
      <w:r w:rsidRPr="00C44F85">
        <w:rPr>
          <w:i/>
          <w:iCs/>
        </w:rPr>
        <w:t xml:space="preserve">průzkumu </w:t>
      </w:r>
      <w:r w:rsidR="00662858">
        <w:rPr>
          <w:i/>
          <w:iCs/>
        </w:rPr>
        <w:t>odhalují</w:t>
      </w:r>
      <w:r w:rsidRPr="00C44F85">
        <w:rPr>
          <w:i/>
          <w:iCs/>
        </w:rPr>
        <w:t>, že</w:t>
      </w:r>
      <w:r w:rsidR="00A60DF9">
        <w:rPr>
          <w:i/>
          <w:iCs/>
        </w:rPr>
        <w:t> </w:t>
      </w:r>
      <w:r w:rsidRPr="00C44F85" w:rsidR="688FB56A">
        <w:rPr>
          <w:i/>
          <w:iCs/>
        </w:rPr>
        <w:t xml:space="preserve">online </w:t>
      </w:r>
      <w:r w:rsidRPr="00C44F85" w:rsidR="694DD2A5">
        <w:rPr>
          <w:i/>
          <w:iCs/>
        </w:rPr>
        <w:t>nakupuje a</w:t>
      </w:r>
      <w:r w:rsidRPr="00C44F85" w:rsidR="0DD1E77C">
        <w:rPr>
          <w:i/>
          <w:iCs/>
        </w:rPr>
        <w:t>ž</w:t>
      </w:r>
      <w:r w:rsidRPr="00C44F85" w:rsidR="694DD2A5">
        <w:rPr>
          <w:i/>
          <w:iCs/>
        </w:rPr>
        <w:t> </w:t>
      </w:r>
      <w:r w:rsidRPr="00C44F85">
        <w:rPr>
          <w:i/>
          <w:iCs/>
        </w:rPr>
        <w:t xml:space="preserve">87 % respondentů, což je téměř o </w:t>
      </w:r>
      <w:r w:rsidR="00662858">
        <w:rPr>
          <w:i/>
          <w:iCs/>
        </w:rPr>
        <w:t>sedm</w:t>
      </w:r>
      <w:r w:rsidRPr="00C44F85" w:rsidR="34537E18">
        <w:rPr>
          <w:i/>
          <w:iCs/>
        </w:rPr>
        <w:t xml:space="preserve"> </w:t>
      </w:r>
      <w:r w:rsidRPr="00C44F85" w:rsidR="4AD06A29">
        <w:rPr>
          <w:i/>
          <w:iCs/>
        </w:rPr>
        <w:t xml:space="preserve">procentních bodů </w:t>
      </w:r>
      <w:r w:rsidRPr="00C44F85">
        <w:rPr>
          <w:i/>
          <w:iCs/>
        </w:rPr>
        <w:t>více než v</w:t>
      </w:r>
      <w:r w:rsidRPr="00C44F85" w:rsidR="2DE60BFA">
        <w:rPr>
          <w:i/>
          <w:iCs/>
        </w:rPr>
        <w:t>loni</w:t>
      </w:r>
      <w:r w:rsidRPr="00C44F85">
        <w:rPr>
          <w:i/>
          <w:iCs/>
        </w:rPr>
        <w:t>. Nejvyšší míru využívání vykazuje věková skupina 35</w:t>
      </w:r>
      <w:r w:rsidRPr="00C44F85" w:rsidR="2DE60BFA">
        <w:rPr>
          <w:i/>
          <w:iCs/>
        </w:rPr>
        <w:t xml:space="preserve"> až</w:t>
      </w:r>
      <w:r w:rsidRPr="00C44F85" w:rsidR="0C57A522">
        <w:rPr>
          <w:i/>
          <w:iCs/>
        </w:rPr>
        <w:t> </w:t>
      </w:r>
      <w:r w:rsidRPr="00C44F85">
        <w:rPr>
          <w:i/>
          <w:iCs/>
        </w:rPr>
        <w:t>44</w:t>
      </w:r>
      <w:r w:rsidRPr="00C44F85" w:rsidR="0C57A522">
        <w:rPr>
          <w:i/>
          <w:iCs/>
        </w:rPr>
        <w:t> </w:t>
      </w:r>
      <w:r w:rsidRPr="00C44F85">
        <w:rPr>
          <w:i/>
          <w:iCs/>
        </w:rPr>
        <w:t>let</w:t>
      </w:r>
      <w:r w:rsidRPr="00C44F85" w:rsidR="2197FE15">
        <w:rPr>
          <w:i/>
          <w:iCs/>
        </w:rPr>
        <w:t xml:space="preserve"> (</w:t>
      </w:r>
      <w:r w:rsidRPr="00C44F85">
        <w:rPr>
          <w:i/>
          <w:iCs/>
        </w:rPr>
        <w:t>90 %</w:t>
      </w:r>
      <w:r w:rsidRPr="00C44F85" w:rsidR="2197FE15">
        <w:rPr>
          <w:i/>
          <w:iCs/>
        </w:rPr>
        <w:t xml:space="preserve">) a nejmenší </w:t>
      </w:r>
      <w:r w:rsidRPr="00C44F85" w:rsidR="2DE60BFA">
        <w:rPr>
          <w:i/>
          <w:iCs/>
        </w:rPr>
        <w:t>kategorie</w:t>
      </w:r>
      <w:r w:rsidRPr="00C44F85">
        <w:rPr>
          <w:i/>
          <w:iCs/>
        </w:rPr>
        <w:t xml:space="preserve"> 65</w:t>
      </w:r>
      <w:r w:rsidRPr="00C44F85" w:rsidR="2DE60BFA">
        <w:rPr>
          <w:i/>
          <w:iCs/>
        </w:rPr>
        <w:t xml:space="preserve"> </w:t>
      </w:r>
      <w:r w:rsidRPr="00C44F85" w:rsidR="2197FE15">
        <w:rPr>
          <w:i/>
          <w:iCs/>
        </w:rPr>
        <w:t>plus (</w:t>
      </w:r>
      <w:r w:rsidRPr="00C44F85">
        <w:rPr>
          <w:i/>
          <w:iCs/>
        </w:rPr>
        <w:t>77 %</w:t>
      </w:r>
      <w:r w:rsidRPr="00C44F85" w:rsidR="2197FE15">
        <w:rPr>
          <w:i/>
          <w:iCs/>
        </w:rPr>
        <w:t>), u ní</w:t>
      </w:r>
      <w:r w:rsidRPr="00C44F85" w:rsidR="6B68915D">
        <w:rPr>
          <w:i/>
          <w:iCs/>
        </w:rPr>
        <w:t>ž</w:t>
      </w:r>
      <w:r w:rsidRPr="00C44F85" w:rsidR="2197FE15">
        <w:rPr>
          <w:i/>
          <w:iCs/>
        </w:rPr>
        <w:t xml:space="preserve"> je</w:t>
      </w:r>
      <w:r w:rsidRPr="00C44F85" w:rsidR="6B68915D">
        <w:rPr>
          <w:i/>
          <w:iCs/>
        </w:rPr>
        <w:t xml:space="preserve"> ovšem</w:t>
      </w:r>
      <w:r w:rsidRPr="00C44F85" w:rsidR="2197FE15">
        <w:rPr>
          <w:i/>
          <w:iCs/>
        </w:rPr>
        <w:t xml:space="preserve"> třeba zmínit 15% zlepšení oproti loňsku. Naopak lehce překvapivý je meziroční pokles zájmu o</w:t>
      </w:r>
      <w:r w:rsidR="00A60DF9">
        <w:rPr>
          <w:i/>
          <w:iCs/>
        </w:rPr>
        <w:t> </w:t>
      </w:r>
      <w:r w:rsidRPr="00C44F85" w:rsidR="2197FE15">
        <w:rPr>
          <w:i/>
          <w:iCs/>
        </w:rPr>
        <w:t xml:space="preserve">online nakupování u </w:t>
      </w:r>
      <w:r w:rsidRPr="00C44F85">
        <w:rPr>
          <w:i/>
          <w:iCs/>
        </w:rPr>
        <w:t>nejmladší věkové skupiny 18</w:t>
      </w:r>
      <w:r w:rsidRPr="00C44F85" w:rsidR="2DE60BFA">
        <w:rPr>
          <w:i/>
          <w:iCs/>
        </w:rPr>
        <w:t xml:space="preserve"> až </w:t>
      </w:r>
      <w:r w:rsidRPr="00C44F85">
        <w:rPr>
          <w:i/>
          <w:iCs/>
        </w:rPr>
        <w:t>25 let</w:t>
      </w:r>
      <w:r w:rsidRPr="00C44F85" w:rsidR="2197FE15">
        <w:rPr>
          <w:i/>
          <w:iCs/>
        </w:rPr>
        <w:t>. Nicméně tento trend je pozitivním ujištěním</w:t>
      </w:r>
      <w:r w:rsidRPr="00C44F85" w:rsidR="26467CEB">
        <w:rPr>
          <w:i/>
          <w:iCs/>
        </w:rPr>
        <w:t xml:space="preserve"> pro obchodní centra</w:t>
      </w:r>
      <w:r w:rsidRPr="00C44F85" w:rsidR="2197FE15">
        <w:rPr>
          <w:i/>
          <w:iCs/>
        </w:rPr>
        <w:t>, že mladí lidé, ač</w:t>
      </w:r>
      <w:r w:rsidRPr="00C44F85" w:rsidR="17E61B76">
        <w:rPr>
          <w:i/>
          <w:iCs/>
        </w:rPr>
        <w:t> </w:t>
      </w:r>
      <w:r w:rsidRPr="00C44F85" w:rsidR="2197FE15">
        <w:rPr>
          <w:i/>
          <w:iCs/>
        </w:rPr>
        <w:t>žijí hodně v online světě, také touží po osobním zážitku</w:t>
      </w:r>
      <w:r w:rsidRPr="00C44F85" w:rsidR="2DE60BFA">
        <w:rPr>
          <w:i/>
          <w:iCs/>
        </w:rPr>
        <w:t>,“</w:t>
      </w:r>
      <w:r w:rsidRPr="00C44F85" w:rsidR="2DE60BFA">
        <w:t xml:space="preserve"> komentuje</w:t>
      </w:r>
      <w:r w:rsidRPr="00C44F85">
        <w:t xml:space="preserve"> </w:t>
      </w:r>
      <w:r w:rsidRPr="00C44F85">
        <w:rPr>
          <w:b/>
          <w:bCs/>
        </w:rPr>
        <w:t>Michaela Šoková</w:t>
      </w:r>
      <w:r w:rsidRPr="00C44F85" w:rsidR="2DE60BFA">
        <w:t>.</w:t>
      </w:r>
    </w:p>
    <w:p w:rsidR="00B12F6F" w:rsidP="00A440EF" w:rsidRDefault="00B12F6F" w14:paraId="6F28125E" w14:textId="77777777">
      <w:pPr>
        <w:pStyle w:val="BodyCopy"/>
        <w:jc w:val="both"/>
      </w:pPr>
    </w:p>
    <w:p w:rsidRPr="005B1B8F" w:rsidR="00A440EF" w:rsidP="00A440EF" w:rsidRDefault="0054669E" w14:paraId="00ACDD8F" w14:textId="705E93AB">
      <w:pPr>
        <w:pStyle w:val="BodyCopy"/>
        <w:jc w:val="both"/>
      </w:pPr>
      <w:r w:rsidRPr="005B1B8F">
        <w:t>P</w:t>
      </w:r>
      <w:r w:rsidRPr="005B1B8F" w:rsidR="00AA04E0">
        <w:t>otenciálním p</w:t>
      </w:r>
      <w:r w:rsidRPr="005B1B8F">
        <w:t xml:space="preserve">roblémům </w:t>
      </w:r>
      <w:r w:rsidRPr="005B1B8F" w:rsidR="00DC648B">
        <w:t xml:space="preserve">proto </w:t>
      </w:r>
      <w:r w:rsidRPr="005B1B8F" w:rsidR="00AA04E0">
        <w:t xml:space="preserve">budou čelit ti </w:t>
      </w:r>
      <w:proofErr w:type="spellStart"/>
      <w:r w:rsidRPr="005B1B8F" w:rsidR="00AA04E0">
        <w:t>retaileři</w:t>
      </w:r>
      <w:proofErr w:type="spellEnd"/>
      <w:r w:rsidRPr="005B1B8F" w:rsidR="007E788F">
        <w:t xml:space="preserve">, kteří do svých obchodních strategií </w:t>
      </w:r>
      <w:r w:rsidRPr="005B1B8F" w:rsidR="00A440EF">
        <w:t xml:space="preserve">dostatečně </w:t>
      </w:r>
      <w:r w:rsidRPr="005B1B8F" w:rsidR="00892441">
        <w:t>dobře ne</w:t>
      </w:r>
      <w:r w:rsidRPr="005B1B8F" w:rsidR="00A440EF">
        <w:t xml:space="preserve">integrovali </w:t>
      </w:r>
      <w:proofErr w:type="spellStart"/>
      <w:r w:rsidRPr="005B1B8F" w:rsidR="00A440EF">
        <w:t>omnichannel</w:t>
      </w:r>
      <w:proofErr w:type="spellEnd"/>
      <w:r w:rsidRPr="005B1B8F" w:rsidR="00A440EF">
        <w:t xml:space="preserve"> přístupy kombinující více prodejních a komunikačních kanálů</w:t>
      </w:r>
      <w:r w:rsidRPr="005B1B8F" w:rsidR="007E788F">
        <w:t xml:space="preserve"> od</w:t>
      </w:r>
      <w:r w:rsidRPr="005B1B8F" w:rsidR="005810C8">
        <w:t> </w:t>
      </w:r>
      <w:r w:rsidRPr="005B1B8F" w:rsidR="007E788F">
        <w:t xml:space="preserve">fyzických prodejen a showroomů až po sofistikované e-shopy. </w:t>
      </w:r>
    </w:p>
    <w:p w:rsidRPr="0014277B" w:rsidR="00B01258" w:rsidP="00A440EF" w:rsidRDefault="00B01258" w14:paraId="31A7FD85" w14:textId="77777777">
      <w:pPr>
        <w:pStyle w:val="BodyCopy"/>
        <w:jc w:val="both"/>
        <w:rPr>
          <w:highlight w:val="yellow"/>
        </w:rPr>
      </w:pPr>
    </w:p>
    <w:p w:rsidRPr="00650DCB" w:rsidR="0004140D" w:rsidP="0004140D" w:rsidRDefault="0004140D" w14:paraId="527C588E" w14:textId="77777777">
      <w:pPr>
        <w:pStyle w:val="BodyCopy"/>
        <w:jc w:val="both"/>
      </w:pPr>
      <w:r w:rsidRPr="00650DCB">
        <w:rPr>
          <w:b/>
          <w:bCs/>
        </w:rPr>
        <w:t xml:space="preserve">Veškeré změny na maloobchodním trhu se promítají do strategií a plánů </w:t>
      </w:r>
      <w:proofErr w:type="spellStart"/>
      <w:r w:rsidRPr="00650DCB">
        <w:rPr>
          <w:b/>
          <w:bCs/>
        </w:rPr>
        <w:t>retailerů</w:t>
      </w:r>
      <w:proofErr w:type="spellEnd"/>
      <w:r w:rsidRPr="00650DCB">
        <w:t xml:space="preserve"> </w:t>
      </w:r>
    </w:p>
    <w:p w:rsidRPr="00650DCB" w:rsidR="0004140D" w:rsidP="0004140D" w:rsidRDefault="0004140D" w14:paraId="075E2D6F" w14:textId="501E0CDB">
      <w:pPr>
        <w:pStyle w:val="BodyCopy"/>
        <w:jc w:val="both"/>
      </w:pPr>
      <w:r w:rsidRPr="00650DCB">
        <w:rPr>
          <w:i/>
          <w:iCs/>
        </w:rPr>
        <w:t xml:space="preserve">„Získaná data dále ukazují, že 54 % českých respondentů plánuje další expanzi a rozšiřování maloobchodní prodejní sítě. Naopak 38 % zvažuje uzavírání prodejen anebo redukci prodejních ploch. Současně 69 % maloobchodníků chce dosáhnout </w:t>
      </w:r>
      <w:proofErr w:type="spellStart"/>
      <w:r w:rsidRPr="00650DCB">
        <w:rPr>
          <w:i/>
          <w:iCs/>
        </w:rPr>
        <w:t>přejednání</w:t>
      </w:r>
      <w:proofErr w:type="spellEnd"/>
      <w:r w:rsidRPr="00650DCB">
        <w:rPr>
          <w:i/>
          <w:iCs/>
        </w:rPr>
        <w:t xml:space="preserve"> podmínek stávajících nájemních smluv tak, aby lépe odrážely tržní korekce. Obecně negativnější sentiment českých nájemců se odráží i v jejich snaze </w:t>
      </w:r>
      <w:r w:rsidRPr="00650DCB">
        <w:rPr>
          <w:i/>
          <w:iCs/>
        </w:rPr>
        <w:lastRenderedPageBreak/>
        <w:t>o větší flexibilitu nájemních vztahů, tedy možnost jednodušeji vypovědět nájemní smlouvu anebo ji uzavírat na kratší dobu trvání, než je standardních pět let,“</w:t>
      </w:r>
      <w:r>
        <w:rPr>
          <w:i/>
          <w:iCs/>
        </w:rPr>
        <w:t xml:space="preserve"> </w:t>
      </w:r>
      <w:r w:rsidRPr="00650DCB">
        <w:t xml:space="preserve">popisuje </w:t>
      </w:r>
      <w:r w:rsidRPr="00650DCB">
        <w:rPr>
          <w:b/>
          <w:bCs/>
        </w:rPr>
        <w:t>Jan Janáček</w:t>
      </w:r>
      <w:r w:rsidRPr="00650DCB">
        <w:t>.</w:t>
      </w:r>
    </w:p>
    <w:p w:rsidRPr="00650DCB" w:rsidR="0004140D" w:rsidP="0004140D" w:rsidRDefault="0004140D" w14:paraId="4301B9BD" w14:textId="77777777">
      <w:pPr>
        <w:pStyle w:val="BodyCopy"/>
        <w:jc w:val="both"/>
      </w:pPr>
    </w:p>
    <w:p w:rsidRPr="00650DCB" w:rsidR="0004140D" w:rsidP="0004140D" w:rsidRDefault="0004140D" w14:paraId="343F6D44" w14:textId="66F16DC7">
      <w:pPr>
        <w:pStyle w:val="BodyCopy"/>
        <w:jc w:val="both"/>
      </w:pPr>
      <w:r w:rsidRPr="00650DCB">
        <w:t>Z pohledu preferovaných typů lokalit pro expanzi jednoznačně dominují regionální obchodní centra, a</w:t>
      </w:r>
      <w:r w:rsidR="00A60DF9">
        <w:t> </w:t>
      </w:r>
      <w:r w:rsidRPr="00650DCB">
        <w:t>to</w:t>
      </w:r>
      <w:r w:rsidR="00A60DF9">
        <w:t> </w:t>
      </w:r>
      <w:r w:rsidRPr="00650DCB">
        <w:t xml:space="preserve">jak pro oslovené české nájemce (42 %), tak ty z regionu CEE (58 %). Hned na druhém místě figurují stále oblíbené </w:t>
      </w:r>
      <w:proofErr w:type="spellStart"/>
      <w:r w:rsidRPr="00650DCB">
        <w:t>high</w:t>
      </w:r>
      <w:proofErr w:type="spellEnd"/>
      <w:r w:rsidRPr="00650DCB">
        <w:t xml:space="preserve"> </w:t>
      </w:r>
      <w:proofErr w:type="spellStart"/>
      <w:r w:rsidRPr="00650DCB">
        <w:t>streets</w:t>
      </w:r>
      <w:proofErr w:type="spellEnd"/>
      <w:r w:rsidRPr="00650DCB">
        <w:t xml:space="preserve">, následované retail parky. </w:t>
      </w:r>
    </w:p>
    <w:p w:rsidRPr="00650DCB" w:rsidR="0004140D" w:rsidP="0004140D" w:rsidRDefault="0004140D" w14:paraId="004F88DF" w14:textId="77777777">
      <w:pPr>
        <w:pStyle w:val="BodyCopy"/>
        <w:jc w:val="both"/>
      </w:pPr>
    </w:p>
    <w:p w:rsidRPr="00650DCB" w:rsidR="0004140D" w:rsidP="0004140D" w:rsidRDefault="0004140D" w14:paraId="06428B36" w14:textId="77777777">
      <w:pPr>
        <w:pStyle w:val="BodyCopy"/>
        <w:jc w:val="both"/>
      </w:pPr>
      <w:r w:rsidRPr="00650DCB">
        <w:t>Poslední zjišťovanou oblastí bylo velmi diskutované téma problematiky dodavatelských řetězců. Postoje českých nájemců i těch ze CEE jsou podobné, kdy se 27 % chystá zaměřit na cílenou diverzifikaci dodavatelského řetězce ve prospěch evropských dodavatelů a výrobních destinací.</w:t>
      </w:r>
    </w:p>
    <w:p w:rsidR="0004140D" w:rsidP="0019321F" w:rsidRDefault="0004140D" w14:paraId="736B8960" w14:textId="77777777">
      <w:pPr>
        <w:pStyle w:val="BodyCopy"/>
        <w:jc w:val="both"/>
        <w:rPr>
          <w:b/>
          <w:bCs/>
          <w:highlight w:val="yellow"/>
        </w:rPr>
      </w:pPr>
    </w:p>
    <w:p w:rsidRPr="00281456" w:rsidR="00281456" w:rsidP="00281456" w:rsidRDefault="00281456" w14:paraId="5A400B22" w14:textId="77777777">
      <w:pPr>
        <w:pStyle w:val="BodyCopy"/>
        <w:jc w:val="both"/>
        <w:rPr>
          <w:u w:val="single"/>
        </w:rPr>
      </w:pPr>
      <w:r w:rsidRPr="00281456">
        <w:rPr>
          <w:u w:val="single"/>
        </w:rPr>
        <w:t>O Shopping Centre Indexu</w:t>
      </w:r>
    </w:p>
    <w:p w:rsidR="00DA6F44" w:rsidP="00281456" w:rsidRDefault="00281456" w14:paraId="53779155" w14:textId="1D05D4D5">
      <w:pPr>
        <w:pStyle w:val="BodyCopy"/>
        <w:jc w:val="both"/>
      </w:pPr>
      <w:r>
        <w:t>CBRE Shopping Centre Index je jediným tržním ukazatelem, který nepřetržitě sleduje výkonnost regionálních nákupních center v České republice, a to od roku 2013. Analyzuje vzorek 21 nákupních center v regionech (kromě Prahy) s maloobchodní plochou přesahující 600 000 m</w:t>
      </w:r>
      <w:r w:rsidRPr="00FE5772">
        <w:rPr>
          <w:vertAlign w:val="superscript"/>
        </w:rPr>
        <w:t>2</w:t>
      </w:r>
      <w:r>
        <w:t>, tzn. více než 35 % z celkového objemu nákupních center v regionech. Přibližně 70 až 85 % plochy tvoří nákupní galerie, zbytek zaujímají potravinové řetězce, multiplexy a další volnočasové koncepty jako dětské koutky, bowlingové herny, kasina nebo myčky aut, které se nachází až ve třetině center. Právě tyto segmenty (mimo nákupní galerie) nejsou součástí indexu, protože by mohly způsobit zkreslení výsledků.</w:t>
      </w:r>
    </w:p>
    <w:p w:rsidR="00281456" w:rsidP="00281456" w:rsidRDefault="00281456" w14:paraId="60786E37" w14:textId="77777777">
      <w:pPr>
        <w:pStyle w:val="BodyCopy"/>
        <w:jc w:val="both"/>
      </w:pPr>
    </w:p>
    <w:p w:rsidRPr="00C6374A" w:rsidR="006077F7" w:rsidP="00784D2C" w:rsidRDefault="7110F824" w14:paraId="27D139A0" w14:textId="47508EB5">
      <w:pPr>
        <w:pStyle w:val="BodyCopy"/>
        <w:jc w:val="both"/>
        <w:rPr>
          <w:u w:val="single"/>
        </w:rPr>
      </w:pPr>
      <w:r w:rsidRPr="00C6374A">
        <w:rPr>
          <w:u w:val="single"/>
        </w:rPr>
        <w:t>Více o aktuálních průzkumech</w:t>
      </w:r>
    </w:p>
    <w:p w:rsidR="006077F7" w:rsidP="00784D2C" w:rsidRDefault="7110F824" w14:paraId="6DB35CB4" w14:textId="377D48D9">
      <w:pPr>
        <w:pStyle w:val="BodyCopy"/>
        <w:jc w:val="both"/>
        <w:rPr>
          <w:color w:val="425153"/>
        </w:rPr>
      </w:pPr>
      <w:r w:rsidRPr="00C6374A">
        <w:rPr>
          <w:color w:val="425153"/>
        </w:rPr>
        <w:t>Průzkum zákaznického chování a preferencí proběhl v</w:t>
      </w:r>
      <w:r w:rsidRPr="00C6374A" w:rsidR="00E41CC0">
        <w:rPr>
          <w:color w:val="425153"/>
        </w:rPr>
        <w:t> druhé polovině března</w:t>
      </w:r>
      <w:r w:rsidR="00C6374A">
        <w:rPr>
          <w:color w:val="425153"/>
        </w:rPr>
        <w:t xml:space="preserve"> </w:t>
      </w:r>
      <w:r w:rsidRPr="00C6374A" w:rsidR="00C6374A">
        <w:rPr>
          <w:color w:val="425153"/>
        </w:rPr>
        <w:t>2023</w:t>
      </w:r>
      <w:r w:rsidRPr="00C6374A">
        <w:rPr>
          <w:color w:val="425153"/>
        </w:rPr>
        <w:t xml:space="preserve">, přičemž skupinu respondentů tvořilo téměř </w:t>
      </w:r>
      <w:r w:rsidRPr="00C6374A" w:rsidR="00E41CC0">
        <w:rPr>
          <w:color w:val="425153"/>
        </w:rPr>
        <w:t>1 5</w:t>
      </w:r>
      <w:r w:rsidRPr="00C6374A">
        <w:rPr>
          <w:color w:val="425153"/>
        </w:rPr>
        <w:t>00 zákazníků. Průzkum očekávání a str</w:t>
      </w:r>
      <w:r w:rsidRPr="00C6374A" w:rsidR="00D02098">
        <w:rPr>
          <w:color w:val="425153"/>
        </w:rPr>
        <w:t xml:space="preserve">ategie maloobchodníků proběhl </w:t>
      </w:r>
      <w:r w:rsidRPr="00C6374A" w:rsidR="00C6374A">
        <w:rPr>
          <w:color w:val="425153"/>
        </w:rPr>
        <w:t xml:space="preserve">v první polovině </w:t>
      </w:r>
      <w:r w:rsidRPr="00C6374A">
        <w:rPr>
          <w:color w:val="425153"/>
        </w:rPr>
        <w:t xml:space="preserve">května </w:t>
      </w:r>
      <w:r w:rsidRPr="00C6374A" w:rsidR="00C6374A">
        <w:rPr>
          <w:color w:val="425153"/>
        </w:rPr>
        <w:t>tohoto roku</w:t>
      </w:r>
      <w:r w:rsidRPr="00C6374A">
        <w:rPr>
          <w:color w:val="425153"/>
        </w:rPr>
        <w:t>, kdy skupinu respondentů tvořilo více než 2</w:t>
      </w:r>
      <w:r w:rsidRPr="00C6374A" w:rsidR="00C6374A">
        <w:rPr>
          <w:color w:val="425153"/>
        </w:rPr>
        <w:t>6</w:t>
      </w:r>
      <w:r w:rsidRPr="00C6374A">
        <w:rPr>
          <w:color w:val="425153"/>
        </w:rPr>
        <w:t xml:space="preserve"> maloobchodníků provozujících v tuzemsku na</w:t>
      </w:r>
      <w:r w:rsidRPr="00C6374A" w:rsidR="00D2097E">
        <w:rPr>
          <w:color w:val="425153"/>
        </w:rPr>
        <w:t xml:space="preserve"> </w:t>
      </w:r>
      <w:r w:rsidRPr="00C6374A">
        <w:rPr>
          <w:color w:val="425153"/>
        </w:rPr>
        <w:t xml:space="preserve">1 </w:t>
      </w:r>
      <w:r w:rsidRPr="00C6374A" w:rsidR="00C6374A">
        <w:rPr>
          <w:color w:val="425153"/>
        </w:rPr>
        <w:t>40</w:t>
      </w:r>
      <w:r w:rsidRPr="00C6374A" w:rsidR="00D2097E">
        <w:rPr>
          <w:color w:val="425153"/>
        </w:rPr>
        <w:t>0</w:t>
      </w:r>
      <w:r w:rsidRPr="00C6374A">
        <w:rPr>
          <w:color w:val="425153"/>
        </w:rPr>
        <w:t xml:space="preserve"> obchodů/jednotek v </w:t>
      </w:r>
      <w:r w:rsidRPr="00C6374A" w:rsidR="00C6374A">
        <w:rPr>
          <w:color w:val="425153"/>
        </w:rPr>
        <w:t>7</w:t>
      </w:r>
      <w:r w:rsidRPr="00C6374A">
        <w:rPr>
          <w:color w:val="425153"/>
        </w:rPr>
        <w:t xml:space="preserve"> hlavních segmentech</w:t>
      </w:r>
      <w:r w:rsidRPr="00C6374A" w:rsidR="00C6374A">
        <w:rPr>
          <w:color w:val="425153"/>
        </w:rPr>
        <w:t xml:space="preserve"> </w:t>
      </w:r>
      <w:r w:rsidR="0057480D">
        <w:rPr>
          <w:color w:val="425153"/>
        </w:rPr>
        <w:t>(o</w:t>
      </w:r>
      <w:r w:rsidRPr="0057480D" w:rsidR="0057480D">
        <w:rPr>
          <w:color w:val="425153"/>
        </w:rPr>
        <w:t>blečení a obuv, zdraví a</w:t>
      </w:r>
      <w:r w:rsidR="00A60DF9">
        <w:rPr>
          <w:color w:val="425153"/>
        </w:rPr>
        <w:t> </w:t>
      </w:r>
      <w:r w:rsidRPr="0057480D" w:rsidR="0057480D">
        <w:rPr>
          <w:color w:val="425153"/>
        </w:rPr>
        <w:t>krása, gastronomie, služby, zábava a volný čas, obchod s potravinami a sportovní potřeby</w:t>
      </w:r>
      <w:r w:rsidR="0057480D">
        <w:rPr>
          <w:color w:val="425153"/>
        </w:rPr>
        <w:t xml:space="preserve">) </w:t>
      </w:r>
      <w:r w:rsidRPr="00C6374A" w:rsidR="00C6374A">
        <w:rPr>
          <w:color w:val="425153"/>
        </w:rPr>
        <w:t>a dalších 43 značek, jež</w:t>
      </w:r>
      <w:r w:rsidR="005810C8">
        <w:rPr>
          <w:color w:val="425153"/>
        </w:rPr>
        <w:t> </w:t>
      </w:r>
      <w:r w:rsidRPr="00C6374A" w:rsidR="00C6374A">
        <w:rPr>
          <w:color w:val="425153"/>
        </w:rPr>
        <w:t>se</w:t>
      </w:r>
      <w:r w:rsidR="005810C8">
        <w:rPr>
          <w:color w:val="425153"/>
        </w:rPr>
        <w:t> </w:t>
      </w:r>
      <w:r w:rsidR="00686620">
        <w:rPr>
          <w:color w:val="425153"/>
        </w:rPr>
        <w:t>p</w:t>
      </w:r>
      <w:r w:rsidRPr="00C6374A" w:rsidR="00C6374A">
        <w:rPr>
          <w:color w:val="425153"/>
        </w:rPr>
        <w:t>růzkumu zúčastnil</w:t>
      </w:r>
      <w:r w:rsidR="00686620">
        <w:rPr>
          <w:color w:val="425153"/>
        </w:rPr>
        <w:t>y</w:t>
      </w:r>
      <w:r w:rsidRPr="00C6374A" w:rsidR="00C6374A">
        <w:rPr>
          <w:color w:val="425153"/>
        </w:rPr>
        <w:t xml:space="preserve"> v rámci regionu CEE. </w:t>
      </w:r>
      <w:r w:rsidRPr="00C6374A">
        <w:rPr>
          <w:color w:val="425153"/>
        </w:rPr>
        <w:t>Oba průzkumy měly za</w:t>
      </w:r>
      <w:r w:rsidRPr="00C6374A" w:rsidR="000C2C26">
        <w:rPr>
          <w:color w:val="425153"/>
        </w:rPr>
        <w:t> </w:t>
      </w:r>
      <w:r w:rsidRPr="00C6374A">
        <w:rPr>
          <w:color w:val="425153"/>
        </w:rPr>
        <w:t>cíl zjistit, jaké změny nastaly po</w:t>
      </w:r>
      <w:r w:rsidR="005810C8">
        <w:rPr>
          <w:color w:val="425153"/>
        </w:rPr>
        <w:t> </w:t>
      </w:r>
      <w:r w:rsidRPr="00C6374A">
        <w:rPr>
          <w:color w:val="425153"/>
        </w:rPr>
        <w:t>pandemii covidu-19 v letech 2020 a</w:t>
      </w:r>
      <w:r w:rsidR="00C6374A">
        <w:rPr>
          <w:color w:val="425153"/>
        </w:rPr>
        <w:t>ž</w:t>
      </w:r>
      <w:r w:rsidRPr="00C6374A">
        <w:rPr>
          <w:color w:val="425153"/>
        </w:rPr>
        <w:t xml:space="preserve"> 202</w:t>
      </w:r>
      <w:r w:rsidR="00C6374A">
        <w:rPr>
          <w:color w:val="425153"/>
        </w:rPr>
        <w:t>2</w:t>
      </w:r>
      <w:r w:rsidRPr="00C6374A">
        <w:rPr>
          <w:color w:val="425153"/>
        </w:rPr>
        <w:t xml:space="preserve"> a v současném ekonomickém a geopolitickém prostředí.</w:t>
      </w:r>
      <w:r w:rsidRPr="02C1C5E2">
        <w:rPr>
          <w:color w:val="425153"/>
        </w:rPr>
        <w:t xml:space="preserve"> </w:t>
      </w:r>
    </w:p>
    <w:p w:rsidR="00686620" w:rsidP="00784D2C" w:rsidRDefault="00686620" w14:paraId="0278F655" w14:textId="77777777">
      <w:pPr>
        <w:pStyle w:val="BodyCopy"/>
        <w:jc w:val="both"/>
        <w:rPr>
          <w:u w:val="single"/>
        </w:rPr>
      </w:pPr>
    </w:p>
    <w:p w:rsidRPr="001C5E35" w:rsidR="006077F7" w:rsidP="00784D2C" w:rsidRDefault="7CA79AFA" w14:paraId="35C083E9" w14:textId="2076A3DC">
      <w:pPr>
        <w:pStyle w:val="BodyCopy"/>
        <w:jc w:val="both"/>
        <w:rPr>
          <w:u w:val="single"/>
        </w:rPr>
      </w:pPr>
      <w:r w:rsidRPr="7110F824">
        <w:rPr>
          <w:u w:val="single"/>
        </w:rPr>
        <w:t>O CBRE Retail</w:t>
      </w:r>
    </w:p>
    <w:p w:rsidR="00DE2403" w:rsidP="00784D2C" w:rsidRDefault="7110F824" w14:paraId="6B57FAFA" w14:textId="38097F4E">
      <w:pPr>
        <w:pStyle w:val="BodyCopy"/>
        <w:jc w:val="both"/>
      </w:pPr>
      <w:r w:rsidR="7110F824">
        <w:rPr/>
        <w:t>CBRE je expertem na správu maloobchodních ploch, přičemž aktuálně má ve správě</w:t>
      </w:r>
      <w:r w:rsidR="00D1226E">
        <w:rPr/>
        <w:t xml:space="preserve"> </w:t>
      </w:r>
      <w:r w:rsidR="1FA509A7">
        <w:rPr/>
        <w:t>23 obchodních center a retailových parků napříč Českou republikou</w:t>
      </w:r>
      <w:r w:rsidR="7110F824">
        <w:rPr/>
        <w:t xml:space="preserve">. </w:t>
      </w:r>
      <w:r w:rsidR="7CA79AFA">
        <w:rPr/>
        <w:t>Poskytuje rozsáhlé a komplexní poradenství v oblasti nákupu a prodeje maloobchodních aktiv, pronájmu maloobchodních prostor, zastupování nájemců při vstupu na</w:t>
      </w:r>
      <w:r w:rsidR="000C2C26">
        <w:rPr/>
        <w:t> </w:t>
      </w:r>
      <w:r w:rsidR="7CA79AFA">
        <w:rPr/>
        <w:t>český trh nebo optimalizaci sítě prodejen, a dále správu, marketing a koncept design nákupních center a retail parků. V neposlední řadě je lídrem v průzkumu maloobchodního trhu a chování zákazníků.</w:t>
      </w:r>
    </w:p>
    <w:p w:rsidRPr="00A355D5" w:rsidR="00DB7F4A" w:rsidP="00784D2C" w:rsidRDefault="00281456" w14:paraId="3EDF02A7" w14:textId="62CE49FD">
      <w:pPr>
        <w:pStyle w:val="Contact"/>
        <w:jc w:val="both"/>
      </w:pPr>
      <w:r>
        <w:br/>
      </w:r>
      <w:r w:rsidR="065FC1AA">
        <w:t>Kontakty:</w:t>
      </w:r>
      <w:r w:rsidR="00DB7F4A">
        <w:br/>
      </w:r>
      <w:proofErr w:type="spellStart"/>
      <w:r w:rsidR="065FC1AA">
        <w:t>Crest</w:t>
      </w:r>
      <w:proofErr w:type="spellEnd"/>
      <w:r w:rsidR="065FC1AA">
        <w:t xml:space="preserve"> Communications, a.s.</w:t>
      </w:r>
    </w:p>
    <w:p w:rsidR="00DB7F4A" w:rsidP="00784D2C" w:rsidRDefault="065FC1AA" w14:paraId="0C75A380" w14:textId="77777777">
      <w:pPr>
        <w:pStyle w:val="Contact"/>
        <w:jc w:val="both"/>
        <w:rPr>
          <w:b w:val="0"/>
          <w:bCs w:val="0"/>
        </w:rPr>
      </w:pPr>
      <w:r>
        <w:rPr>
          <w:b w:val="0"/>
          <w:bCs w:val="0"/>
        </w:rPr>
        <w:t>Denisa Kolaříková</w:t>
      </w:r>
      <w:r w:rsidR="00DB7F4A">
        <w:tab/>
      </w:r>
      <w:r w:rsidR="00DB7F4A">
        <w:tab/>
      </w:r>
      <w:r w:rsidR="00DB7F4A">
        <w:tab/>
      </w:r>
      <w:r w:rsidR="00DB7F4A">
        <w:tab/>
      </w:r>
      <w:r w:rsidR="00DB7F4A">
        <w:tab/>
      </w:r>
      <w:r w:rsidR="00DB7F4A">
        <w:tab/>
      </w:r>
      <w:r>
        <w:rPr>
          <w:b w:val="0"/>
          <w:bCs w:val="0"/>
        </w:rPr>
        <w:t>Kamila Čadková</w:t>
      </w:r>
    </w:p>
    <w:p w:rsidR="00DB7F4A" w:rsidP="00784D2C" w:rsidRDefault="065FC1AA" w14:paraId="180E2F62" w14:textId="77777777">
      <w:pPr>
        <w:pStyle w:val="Contact"/>
        <w:jc w:val="both"/>
        <w:rPr>
          <w:b w:val="0"/>
          <w:bCs w:val="0"/>
        </w:rPr>
      </w:pPr>
      <w:proofErr w:type="spellStart"/>
      <w:r>
        <w:rPr>
          <w:b w:val="0"/>
          <w:bCs w:val="0"/>
        </w:rPr>
        <w:lastRenderedPageBreak/>
        <w:t>Account</w:t>
      </w:r>
      <w:proofErr w:type="spellEnd"/>
      <w:r>
        <w:rPr>
          <w:b w:val="0"/>
          <w:bCs w:val="0"/>
        </w:rPr>
        <w:t xml:space="preserve"> Manager</w:t>
      </w:r>
      <w:r w:rsidR="00DB7F4A">
        <w:tab/>
      </w:r>
      <w:r w:rsidR="00DB7F4A">
        <w:tab/>
      </w:r>
      <w:r w:rsidR="00DB7F4A">
        <w:tab/>
      </w:r>
      <w:r w:rsidR="00DB7F4A">
        <w:tab/>
      </w:r>
      <w:r w:rsidR="00DB7F4A">
        <w:tab/>
      </w:r>
      <w:r w:rsidR="00DB7F4A">
        <w:tab/>
      </w:r>
      <w:proofErr w:type="spellStart"/>
      <w:r>
        <w:rPr>
          <w:b w:val="0"/>
          <w:bCs w:val="0"/>
        </w:rPr>
        <w:t>Account</w:t>
      </w:r>
      <w:proofErr w:type="spellEnd"/>
      <w:r>
        <w:rPr>
          <w:b w:val="0"/>
          <w:bCs w:val="0"/>
        </w:rPr>
        <w:t xml:space="preserve"> </w:t>
      </w:r>
      <w:proofErr w:type="spellStart"/>
      <w:r>
        <w:rPr>
          <w:b w:val="0"/>
          <w:bCs w:val="0"/>
        </w:rPr>
        <w:t>Director</w:t>
      </w:r>
      <w:proofErr w:type="spellEnd"/>
    </w:p>
    <w:p w:rsidR="00DB7F4A" w:rsidP="00784D2C" w:rsidRDefault="065FC1AA" w14:paraId="733C79D2" w14:textId="77777777">
      <w:pPr>
        <w:pStyle w:val="Contact"/>
        <w:jc w:val="both"/>
        <w:rPr>
          <w:b w:val="0"/>
          <w:bCs w:val="0"/>
        </w:rPr>
      </w:pPr>
      <w:r>
        <w:rPr>
          <w:b w:val="0"/>
          <w:bCs w:val="0"/>
        </w:rPr>
        <w:t>T: +420 731 613 606</w:t>
      </w:r>
      <w:r w:rsidR="00DB7F4A">
        <w:tab/>
      </w:r>
      <w:r w:rsidR="00DB7F4A">
        <w:tab/>
      </w:r>
      <w:r w:rsidR="00DB7F4A">
        <w:tab/>
      </w:r>
      <w:r w:rsidR="00DB7F4A">
        <w:tab/>
      </w:r>
      <w:r w:rsidR="00DB7F4A">
        <w:tab/>
      </w:r>
      <w:r w:rsidR="00DB7F4A">
        <w:tab/>
      </w:r>
      <w:r>
        <w:rPr>
          <w:b w:val="0"/>
          <w:bCs w:val="0"/>
        </w:rPr>
        <w:t>T: +420 731 613 609</w:t>
      </w:r>
    </w:p>
    <w:p w:rsidR="00DB7F4A" w:rsidP="00784D2C" w:rsidRDefault="065FC1AA" w14:paraId="721A6878" w14:textId="50C9D782">
      <w:pPr>
        <w:pStyle w:val="Contact"/>
        <w:jc w:val="both"/>
        <w:rPr>
          <w:b w:val="0"/>
          <w:bCs w:val="0"/>
        </w:rPr>
      </w:pPr>
      <w:r>
        <w:rPr>
          <w:b w:val="0"/>
          <w:bCs w:val="0"/>
        </w:rPr>
        <w:t xml:space="preserve">e-mail: </w:t>
      </w:r>
      <w:hyperlink r:id="rId11">
        <w:r w:rsidRPr="7110F824">
          <w:rPr>
            <w:rStyle w:val="Hypertextovodkaz"/>
            <w:b w:val="0"/>
            <w:bCs w:val="0"/>
          </w:rPr>
          <w:t>denisa.kolarikova@crestcom.cz</w:t>
        </w:r>
      </w:hyperlink>
      <w:r>
        <w:rPr>
          <w:b w:val="0"/>
          <w:bCs w:val="0"/>
        </w:rPr>
        <w:t xml:space="preserve"> </w:t>
      </w:r>
      <w:r w:rsidR="00DB7F4A">
        <w:tab/>
      </w:r>
      <w:r w:rsidR="00DB7F4A">
        <w:tab/>
      </w:r>
      <w:r w:rsidR="00DB7F4A">
        <w:tab/>
      </w:r>
      <w:r>
        <w:rPr>
          <w:b w:val="0"/>
          <w:bCs w:val="0"/>
        </w:rPr>
        <w:t xml:space="preserve">e-mail: </w:t>
      </w:r>
      <w:hyperlink r:id="rId12">
        <w:r w:rsidRPr="7110F824">
          <w:rPr>
            <w:rStyle w:val="Hypertextovodkaz"/>
            <w:b w:val="0"/>
            <w:bCs w:val="0"/>
          </w:rPr>
          <w:t>kamila.cadkova@crestcom.cz</w:t>
        </w:r>
      </w:hyperlink>
      <w:r>
        <w:rPr>
          <w:b w:val="0"/>
          <w:bCs w:val="0"/>
        </w:rPr>
        <w:t xml:space="preserve"> </w:t>
      </w:r>
    </w:p>
    <w:p w:rsidR="00DB7F4A" w:rsidP="00784D2C" w:rsidRDefault="00000000" w14:paraId="7A26B51B" w14:textId="77777777">
      <w:pPr>
        <w:pStyle w:val="Contact"/>
        <w:jc w:val="both"/>
        <w:rPr>
          <w:b w:val="0"/>
          <w:bCs w:val="0"/>
        </w:rPr>
      </w:pPr>
      <w:hyperlink r:id="rId13">
        <w:r w:rsidRPr="7110F824" w:rsidR="065FC1AA">
          <w:rPr>
            <w:rStyle w:val="Hypertextovodkaz"/>
            <w:b w:val="0"/>
            <w:bCs w:val="0"/>
          </w:rPr>
          <w:t>www.crestcom.cz</w:t>
        </w:r>
      </w:hyperlink>
    </w:p>
    <w:p w:rsidR="00DB7F4A" w:rsidP="00784D2C" w:rsidRDefault="00DB7F4A" w14:paraId="39FED434" w14:textId="77777777">
      <w:pPr>
        <w:pStyle w:val="Contact"/>
        <w:jc w:val="both"/>
      </w:pPr>
    </w:p>
    <w:p w:rsidRPr="00DC44AF" w:rsidR="00DC44AF" w:rsidP="00DC44AF" w:rsidRDefault="00DC44AF" w14:paraId="382693C0" w14:textId="77777777">
      <w:pPr>
        <w:spacing w:line="240" w:lineRule="auto"/>
        <w:textAlignment w:val="baseline"/>
        <w:rPr>
          <w:rFonts w:ascii="Segoe UI" w:hAnsi="Segoe UI" w:cs="Segoe UI"/>
          <w:sz w:val="18"/>
          <w:szCs w:val="18"/>
          <w:lang w:eastAsia="cs-CZ"/>
        </w:rPr>
      </w:pPr>
      <w:r w:rsidRPr="00DC44AF">
        <w:rPr>
          <w:b/>
          <w:bCs/>
          <w:color w:val="425254"/>
          <w:lang w:eastAsia="cs-CZ"/>
        </w:rPr>
        <w:t>CBRE </w:t>
      </w:r>
      <w:r w:rsidRPr="00DC44AF">
        <w:rPr>
          <w:color w:val="425254"/>
          <w:lang w:eastAsia="cs-CZ"/>
        </w:rPr>
        <w:t> </w:t>
      </w:r>
    </w:p>
    <w:p w:rsidRPr="00DC44AF" w:rsidR="00DC44AF" w:rsidP="00DC44AF" w:rsidRDefault="00DC44AF" w14:paraId="3AFF1187" w14:textId="77777777">
      <w:pPr>
        <w:spacing w:line="240" w:lineRule="auto"/>
        <w:textAlignment w:val="baseline"/>
        <w:rPr>
          <w:rFonts w:ascii="Segoe UI" w:hAnsi="Segoe UI" w:cs="Segoe UI"/>
          <w:sz w:val="18"/>
          <w:szCs w:val="18"/>
          <w:lang w:eastAsia="cs-CZ"/>
        </w:rPr>
      </w:pPr>
      <w:r w:rsidRPr="00DC44AF">
        <w:rPr>
          <w:color w:val="425254"/>
          <w:lang w:eastAsia="cs-CZ"/>
        </w:rPr>
        <w:t xml:space="preserve">Renata Mrázová, </w:t>
      </w:r>
      <w:proofErr w:type="spellStart"/>
      <w:r w:rsidRPr="00DC44AF">
        <w:rPr>
          <w:color w:val="425254"/>
          <w:lang w:eastAsia="cs-CZ"/>
        </w:rPr>
        <w:t>Communication</w:t>
      </w:r>
      <w:proofErr w:type="spellEnd"/>
      <w:r w:rsidRPr="00DC44AF">
        <w:rPr>
          <w:color w:val="425254"/>
          <w:lang w:eastAsia="cs-CZ"/>
        </w:rPr>
        <w:t xml:space="preserve"> Manager, +420 604 308 765, </w:t>
      </w:r>
      <w:hyperlink w:tgtFrame="_blank" w:history="1" r:id="rId14">
        <w:r w:rsidRPr="00DC44AF">
          <w:rPr>
            <w:color w:val="80BBAD"/>
            <w:u w:val="single"/>
            <w:lang w:eastAsia="cs-CZ"/>
          </w:rPr>
          <w:t>renata.mrazova@cbre.com</w:t>
        </w:r>
      </w:hyperlink>
      <w:r w:rsidRPr="00DC44AF">
        <w:rPr>
          <w:color w:val="425254"/>
          <w:lang w:eastAsia="cs-CZ"/>
        </w:rPr>
        <w:t> </w:t>
      </w:r>
      <w:r w:rsidRPr="00DC44AF">
        <w:rPr>
          <w:b/>
          <w:bCs/>
          <w:color w:val="425254"/>
          <w:lang w:eastAsia="cs-CZ"/>
        </w:rPr>
        <w:t> </w:t>
      </w:r>
      <w:r w:rsidRPr="00DC44AF">
        <w:rPr>
          <w:color w:val="425254"/>
          <w:lang w:eastAsia="cs-CZ"/>
        </w:rPr>
        <w:t> </w:t>
      </w:r>
    </w:p>
    <w:p w:rsidRPr="00DC44AF" w:rsidR="00DC44AF" w:rsidP="00DC44AF" w:rsidRDefault="00DC44AF" w14:paraId="66504DA5" w14:textId="7B3557EE">
      <w:pPr>
        <w:spacing w:line="240" w:lineRule="auto"/>
        <w:textAlignment w:val="baseline"/>
        <w:rPr>
          <w:rFonts w:ascii="Segoe UI" w:hAnsi="Segoe UI" w:cs="Segoe UI"/>
          <w:sz w:val="18"/>
          <w:szCs w:val="18"/>
          <w:lang w:eastAsia="cs-CZ"/>
        </w:rPr>
      </w:pPr>
      <w:r w:rsidRPr="00DC44AF">
        <w:rPr>
          <w:color w:val="425254"/>
          <w:lang w:eastAsia="cs-CZ"/>
        </w:rPr>
        <w:t>CBRE Česká republika</w:t>
      </w:r>
      <w:r w:rsidRPr="00DC44AF">
        <w:rPr>
          <w:color w:val="1F497D"/>
          <w:lang w:eastAsia="cs-CZ"/>
        </w:rPr>
        <w:t> </w:t>
      </w:r>
      <w:hyperlink w:tgtFrame="_blank" w:history="1" r:id="rId15">
        <w:r w:rsidRPr="00DC44AF">
          <w:rPr>
            <w:color w:val="7FBBAD"/>
            <w:lang w:eastAsia="cs-CZ"/>
          </w:rPr>
          <w:t>Facebook</w:t>
        </w:r>
      </w:hyperlink>
      <w:r w:rsidRPr="00DC44AF">
        <w:rPr>
          <w:color w:val="7FBBAD"/>
          <w:lang w:eastAsia="cs-CZ"/>
        </w:rPr>
        <w:t xml:space="preserve">, </w:t>
      </w:r>
      <w:hyperlink w:tgtFrame="_blank" w:history="1" r:id="rId16">
        <w:r w:rsidRPr="00DC44AF">
          <w:rPr>
            <w:color w:val="80BBAD"/>
            <w:u w:val="single"/>
            <w:lang w:eastAsia="cs-CZ"/>
          </w:rPr>
          <w:t>LinkedIn</w:t>
        </w:r>
      </w:hyperlink>
      <w:r w:rsidRPr="00DC44AF">
        <w:rPr>
          <w:color w:val="7FBBAD"/>
          <w:lang w:eastAsia="cs-CZ"/>
        </w:rPr>
        <w:t xml:space="preserve">, </w:t>
      </w:r>
      <w:hyperlink w:tgtFrame="_blank" w:history="1" r:id="rId17">
        <w:r w:rsidRPr="00DC44AF">
          <w:rPr>
            <w:color w:val="7FBBAD"/>
            <w:lang w:eastAsia="cs-CZ"/>
          </w:rPr>
          <w:t>Instagram</w:t>
        </w:r>
      </w:hyperlink>
      <w:r w:rsidRPr="00DC44AF">
        <w:rPr>
          <w:b/>
          <w:bCs/>
          <w:color w:val="425254"/>
          <w:lang w:eastAsia="cs-CZ"/>
        </w:rPr>
        <w:t> </w:t>
      </w:r>
      <w:r w:rsidRPr="00DC44AF">
        <w:rPr>
          <w:color w:val="425254"/>
          <w:lang w:eastAsia="cs-CZ"/>
        </w:rPr>
        <w:t> </w:t>
      </w:r>
    </w:p>
    <w:p w:rsidRPr="00DC44AF" w:rsidR="00DC44AF" w:rsidP="00DC44AF" w:rsidRDefault="00DC44AF" w14:paraId="31BF9878" w14:textId="77777777">
      <w:pPr>
        <w:spacing w:line="240" w:lineRule="auto"/>
        <w:textAlignment w:val="baseline"/>
        <w:rPr>
          <w:rFonts w:ascii="Segoe UI" w:hAnsi="Segoe UI" w:cs="Segoe UI"/>
          <w:sz w:val="18"/>
          <w:szCs w:val="18"/>
          <w:lang w:eastAsia="cs-CZ"/>
        </w:rPr>
      </w:pPr>
      <w:r w:rsidRPr="00DC44AF">
        <w:rPr>
          <w:color w:val="425254"/>
          <w:lang w:eastAsia="cs-CZ"/>
        </w:rPr>
        <w:t>  </w:t>
      </w:r>
    </w:p>
    <w:p w:rsidRPr="00DC44AF" w:rsidR="00DC44AF" w:rsidP="00DC44AF" w:rsidRDefault="00DC44AF" w14:paraId="1E491228" w14:textId="77777777">
      <w:pPr>
        <w:spacing w:line="240" w:lineRule="auto"/>
        <w:jc w:val="both"/>
        <w:textAlignment w:val="baseline"/>
        <w:rPr>
          <w:rFonts w:ascii="Segoe UI" w:hAnsi="Segoe UI" w:cs="Segoe UI"/>
          <w:sz w:val="18"/>
          <w:szCs w:val="18"/>
          <w:lang w:eastAsia="cs-CZ"/>
        </w:rPr>
      </w:pPr>
      <w:r w:rsidRPr="00DC44AF">
        <w:rPr>
          <w:rFonts w:ascii="Calibre" w:hAnsi="Calibre" w:cs="Segoe UI"/>
          <w:color w:val="7F8481"/>
          <w:sz w:val="21"/>
          <w:szCs w:val="21"/>
          <w:u w:val="single"/>
          <w:lang w:eastAsia="cs-CZ"/>
        </w:rPr>
        <w:t>O CBRE:</w:t>
      </w:r>
      <w:r w:rsidRPr="00DC44AF">
        <w:rPr>
          <w:rFonts w:ascii="Arial" w:hAnsi="Arial" w:cs="Arial"/>
          <w:color w:val="7F8481"/>
          <w:sz w:val="21"/>
          <w:szCs w:val="21"/>
          <w:lang w:eastAsia="cs-CZ"/>
        </w:rPr>
        <w:t> </w:t>
      </w:r>
      <w:r w:rsidRPr="00DC44AF">
        <w:rPr>
          <w:rFonts w:ascii="Calibre" w:hAnsi="Calibre" w:cs="Segoe UI"/>
          <w:color w:val="7F8481"/>
          <w:sz w:val="21"/>
          <w:szCs w:val="21"/>
          <w:lang w:eastAsia="cs-CZ"/>
        </w:rPr>
        <w:t> </w:t>
      </w:r>
    </w:p>
    <w:p w:rsidRPr="00DC44AF" w:rsidR="00DC44AF" w:rsidP="00DC44AF" w:rsidRDefault="00DC44AF" w14:paraId="744A44D8" w14:textId="7A21B3EF">
      <w:pPr>
        <w:spacing w:line="240" w:lineRule="auto"/>
        <w:jc w:val="both"/>
        <w:textAlignment w:val="baseline"/>
        <w:rPr>
          <w:rFonts w:ascii="Segoe UI" w:hAnsi="Segoe UI" w:cs="Segoe UI"/>
          <w:sz w:val="18"/>
          <w:szCs w:val="18"/>
          <w:lang w:eastAsia="cs-CZ"/>
        </w:rPr>
      </w:pPr>
      <w:r w:rsidRPr="00DC44AF">
        <w:rPr>
          <w:rFonts w:ascii="Calibre" w:hAnsi="Calibre" w:cs="Segoe UI"/>
          <w:color w:val="7F8481"/>
          <w:sz w:val="21"/>
          <w:szCs w:val="21"/>
          <w:shd w:val="clear" w:color="auto" w:fill="FFFFFF"/>
          <w:lang w:eastAsia="cs-CZ"/>
        </w:rPr>
        <w:t>CBRE Group, Inc. (</w:t>
      </w:r>
      <w:proofErr w:type="gramStart"/>
      <w:r w:rsidRPr="00DC44AF">
        <w:rPr>
          <w:rFonts w:ascii="Calibre" w:hAnsi="Calibre" w:cs="Segoe UI"/>
          <w:color w:val="7F8481"/>
          <w:sz w:val="21"/>
          <w:szCs w:val="21"/>
          <w:shd w:val="clear" w:color="auto" w:fill="FFFFFF"/>
          <w:lang w:eastAsia="cs-CZ"/>
        </w:rPr>
        <w:t>NYSE:CBRE</w:t>
      </w:r>
      <w:proofErr w:type="gramEnd"/>
      <w:r w:rsidRPr="00DC44AF">
        <w:rPr>
          <w:rFonts w:ascii="Calibre" w:hAnsi="Calibre" w:cs="Segoe UI"/>
          <w:color w:val="7F8481"/>
          <w:sz w:val="21"/>
          <w:szCs w:val="21"/>
          <w:shd w:val="clear" w:color="auto" w:fill="FFFFFF"/>
          <w:lang w:eastAsia="cs-CZ"/>
        </w:rPr>
        <w:t xml:space="preserve">), společnost figurující na žebříčku </w:t>
      </w:r>
      <w:proofErr w:type="spellStart"/>
      <w:r w:rsidRPr="00DC44AF">
        <w:rPr>
          <w:rFonts w:ascii="Calibre" w:hAnsi="Calibre" w:cs="Segoe UI"/>
          <w:color w:val="7F8481"/>
          <w:sz w:val="21"/>
          <w:szCs w:val="21"/>
          <w:shd w:val="clear" w:color="auto" w:fill="FFFFFF"/>
          <w:lang w:eastAsia="cs-CZ"/>
        </w:rPr>
        <w:t>Fortune</w:t>
      </w:r>
      <w:proofErr w:type="spellEnd"/>
      <w:r w:rsidRPr="00DC44AF">
        <w:rPr>
          <w:rFonts w:ascii="Calibre" w:hAnsi="Calibre" w:cs="Segoe UI"/>
          <w:color w:val="7F8481"/>
          <w:sz w:val="21"/>
          <w:szCs w:val="21"/>
          <w:shd w:val="clear" w:color="auto" w:fill="FFFFFF"/>
          <w:lang w:eastAsia="cs-CZ"/>
        </w:rPr>
        <w:t xml:space="preserve"> 500 a indexu S&amp;P 500 se sídlem v Dallasu, je</w:t>
      </w:r>
      <w:r w:rsidR="00A60DF9">
        <w:rPr>
          <w:rFonts w:ascii="Calibre" w:hAnsi="Calibre" w:cs="Segoe UI"/>
          <w:color w:val="7F8481"/>
          <w:sz w:val="21"/>
          <w:szCs w:val="21"/>
          <w:shd w:val="clear" w:color="auto" w:fill="FFFFFF"/>
          <w:lang w:eastAsia="cs-CZ"/>
        </w:rPr>
        <w:t> </w:t>
      </w:r>
      <w:r w:rsidRPr="00DC44AF">
        <w:rPr>
          <w:rFonts w:ascii="Calibre" w:hAnsi="Calibre" w:cs="Segoe UI"/>
          <w:color w:val="7F8481"/>
          <w:sz w:val="21"/>
          <w:szCs w:val="21"/>
          <w:shd w:val="clear" w:color="auto" w:fill="FFFFFF"/>
          <w:lang w:eastAsia="cs-CZ"/>
        </w:rPr>
        <w:t>světovým lídrem v oblasti komerčních realitních služeb a investic (z hlediska výnosů za rok 2022). S</w:t>
      </w:r>
      <w:r w:rsidRPr="00DC44AF">
        <w:rPr>
          <w:rFonts w:ascii="Arial" w:hAnsi="Arial" w:cs="Arial"/>
          <w:color w:val="7F8481"/>
          <w:sz w:val="21"/>
          <w:szCs w:val="21"/>
          <w:shd w:val="clear" w:color="auto" w:fill="FFFFFF"/>
          <w:lang w:eastAsia="cs-CZ"/>
        </w:rPr>
        <w:t> </w:t>
      </w:r>
      <w:r w:rsidRPr="00DC44AF">
        <w:rPr>
          <w:rFonts w:ascii="Calibre" w:hAnsi="Calibre" w:cs="Segoe UI"/>
          <w:color w:val="7F8481"/>
          <w:sz w:val="21"/>
          <w:szCs w:val="21"/>
          <w:shd w:val="clear" w:color="auto" w:fill="FFFFFF"/>
          <w:lang w:eastAsia="cs-CZ"/>
        </w:rPr>
        <w:t>p</w:t>
      </w:r>
      <w:r w:rsidRPr="00DC44AF">
        <w:rPr>
          <w:rFonts w:ascii="Corbel" w:hAnsi="Corbel" w:cs="Segoe UI"/>
          <w:color w:val="7F8481"/>
          <w:sz w:val="21"/>
          <w:szCs w:val="21"/>
          <w:shd w:val="clear" w:color="auto" w:fill="FFFFFF"/>
          <w:lang w:eastAsia="cs-CZ"/>
        </w:rPr>
        <w:t>ř</w:t>
      </w:r>
      <w:r w:rsidRPr="00DC44AF">
        <w:rPr>
          <w:rFonts w:ascii="Calibre" w:hAnsi="Calibre" w:cs="Segoe UI"/>
          <w:color w:val="7F8481"/>
          <w:sz w:val="21"/>
          <w:szCs w:val="21"/>
          <w:shd w:val="clear" w:color="auto" w:fill="FFFFFF"/>
          <w:lang w:eastAsia="cs-CZ"/>
        </w:rPr>
        <w:t>ibli</w:t>
      </w:r>
      <w:r w:rsidRPr="00DC44AF">
        <w:rPr>
          <w:rFonts w:ascii="Corbel" w:hAnsi="Corbel" w:cs="Segoe UI"/>
          <w:color w:val="7F8481"/>
          <w:sz w:val="21"/>
          <w:szCs w:val="21"/>
          <w:shd w:val="clear" w:color="auto" w:fill="FFFFFF"/>
          <w:lang w:eastAsia="cs-CZ"/>
        </w:rPr>
        <w:t>ž</w:t>
      </w:r>
      <w:r w:rsidRPr="00DC44AF">
        <w:rPr>
          <w:rFonts w:ascii="Calibre" w:hAnsi="Calibre" w:cs="Segoe UI"/>
          <w:color w:val="7F8481"/>
          <w:sz w:val="21"/>
          <w:szCs w:val="21"/>
          <w:shd w:val="clear" w:color="auto" w:fill="FFFFFF"/>
          <w:lang w:eastAsia="cs-CZ"/>
        </w:rPr>
        <w:t>n</w:t>
      </w:r>
      <w:r w:rsidRPr="00DC44AF">
        <w:rPr>
          <w:rFonts w:ascii="Corbel" w:hAnsi="Corbel" w:cs="Segoe UI"/>
          <w:color w:val="7F8481"/>
          <w:sz w:val="21"/>
          <w:szCs w:val="21"/>
          <w:shd w:val="clear" w:color="auto" w:fill="FFFFFF"/>
          <w:lang w:eastAsia="cs-CZ"/>
        </w:rPr>
        <w:t>ě</w:t>
      </w:r>
      <w:r w:rsidRPr="00DC44AF">
        <w:rPr>
          <w:rFonts w:ascii="Calibre" w:hAnsi="Calibre" w:cs="Segoe UI"/>
          <w:color w:val="7F8481"/>
          <w:sz w:val="21"/>
          <w:szCs w:val="21"/>
          <w:shd w:val="clear" w:color="auto" w:fill="FFFFFF"/>
          <w:lang w:eastAsia="cs-CZ"/>
        </w:rPr>
        <w:t xml:space="preserve"> 115 000 zam</w:t>
      </w:r>
      <w:r w:rsidRPr="00DC44AF">
        <w:rPr>
          <w:rFonts w:ascii="Corbel" w:hAnsi="Corbel" w:cs="Segoe UI"/>
          <w:color w:val="7F8481"/>
          <w:sz w:val="21"/>
          <w:szCs w:val="21"/>
          <w:shd w:val="clear" w:color="auto" w:fill="FFFFFF"/>
          <w:lang w:eastAsia="cs-CZ"/>
        </w:rPr>
        <w:t>ě</w:t>
      </w:r>
      <w:r w:rsidRPr="00DC44AF">
        <w:rPr>
          <w:rFonts w:ascii="Calibre" w:hAnsi="Calibre" w:cs="Segoe UI"/>
          <w:color w:val="7F8481"/>
          <w:sz w:val="21"/>
          <w:szCs w:val="21"/>
          <w:shd w:val="clear" w:color="auto" w:fill="FFFFFF"/>
          <w:lang w:eastAsia="cs-CZ"/>
        </w:rPr>
        <w:t>stnanci (vyjma zam</w:t>
      </w:r>
      <w:r w:rsidRPr="00DC44AF">
        <w:rPr>
          <w:rFonts w:ascii="Corbel" w:hAnsi="Corbel" w:cs="Segoe UI"/>
          <w:color w:val="7F8481"/>
          <w:sz w:val="21"/>
          <w:szCs w:val="21"/>
          <w:shd w:val="clear" w:color="auto" w:fill="FFFFFF"/>
          <w:lang w:eastAsia="cs-CZ"/>
        </w:rPr>
        <w:t>ě</w:t>
      </w:r>
      <w:r w:rsidRPr="00DC44AF">
        <w:rPr>
          <w:rFonts w:ascii="Calibre" w:hAnsi="Calibre" w:cs="Segoe UI"/>
          <w:color w:val="7F8481"/>
          <w:sz w:val="21"/>
          <w:szCs w:val="21"/>
          <w:shd w:val="clear" w:color="auto" w:fill="FFFFFF"/>
          <w:lang w:eastAsia="cs-CZ"/>
        </w:rPr>
        <w:t>stnanc</w:t>
      </w:r>
      <w:r w:rsidRPr="00DC44AF">
        <w:rPr>
          <w:rFonts w:ascii="Corbel" w:hAnsi="Corbel" w:cs="Segoe UI"/>
          <w:color w:val="7F8481"/>
          <w:sz w:val="21"/>
          <w:szCs w:val="21"/>
          <w:shd w:val="clear" w:color="auto" w:fill="FFFFFF"/>
          <w:lang w:eastAsia="cs-CZ"/>
        </w:rPr>
        <w:t>ů</w:t>
      </w:r>
      <w:r w:rsidRPr="00DC44AF">
        <w:rPr>
          <w:rFonts w:ascii="Calibre" w:hAnsi="Calibre" w:cs="Segoe UI"/>
          <w:color w:val="7F8481"/>
          <w:sz w:val="21"/>
          <w:szCs w:val="21"/>
          <w:shd w:val="clear" w:color="auto" w:fill="FFFFFF"/>
          <w:lang w:eastAsia="cs-CZ"/>
        </w:rPr>
        <w:t xml:space="preserve"> spole</w:t>
      </w:r>
      <w:r w:rsidRPr="00DC44AF">
        <w:rPr>
          <w:rFonts w:ascii="Corbel" w:hAnsi="Corbel" w:cs="Segoe UI"/>
          <w:color w:val="7F8481"/>
          <w:sz w:val="21"/>
          <w:szCs w:val="21"/>
          <w:shd w:val="clear" w:color="auto" w:fill="FFFFFF"/>
          <w:lang w:eastAsia="cs-CZ"/>
        </w:rPr>
        <w:t>č</w:t>
      </w:r>
      <w:r w:rsidRPr="00DC44AF">
        <w:rPr>
          <w:rFonts w:ascii="Calibre" w:hAnsi="Calibre" w:cs="Segoe UI"/>
          <w:color w:val="7F8481"/>
          <w:sz w:val="21"/>
          <w:szCs w:val="21"/>
          <w:shd w:val="clear" w:color="auto" w:fill="FFFFFF"/>
          <w:lang w:eastAsia="cs-CZ"/>
        </w:rPr>
        <w:t xml:space="preserve">nosti Turner &amp; </w:t>
      </w:r>
      <w:proofErr w:type="spellStart"/>
      <w:r w:rsidRPr="00DC44AF">
        <w:rPr>
          <w:rFonts w:ascii="Calibre" w:hAnsi="Calibre" w:cs="Segoe UI"/>
          <w:color w:val="7F8481"/>
          <w:sz w:val="21"/>
          <w:szCs w:val="21"/>
          <w:shd w:val="clear" w:color="auto" w:fill="FFFFFF"/>
          <w:lang w:eastAsia="cs-CZ"/>
        </w:rPr>
        <w:t>Townsend</w:t>
      </w:r>
      <w:proofErr w:type="spellEnd"/>
      <w:r w:rsidRPr="00DC44AF">
        <w:rPr>
          <w:rFonts w:ascii="Calibre" w:hAnsi="Calibre" w:cs="Segoe UI"/>
          <w:color w:val="7F8481"/>
          <w:sz w:val="21"/>
          <w:szCs w:val="21"/>
          <w:shd w:val="clear" w:color="auto" w:fill="FFFFFF"/>
          <w:lang w:eastAsia="cs-CZ"/>
        </w:rPr>
        <w:t>) je k dispozici klientům ve více než 100 zemích světa. Společnost CBRE poskytuje širokou škálu integrovaných služeb od správy a</w:t>
      </w:r>
      <w:r w:rsidRPr="00DC44AF">
        <w:rPr>
          <w:rFonts w:ascii="Arial" w:hAnsi="Arial" w:cs="Arial"/>
          <w:color w:val="7F8481"/>
          <w:sz w:val="21"/>
          <w:szCs w:val="21"/>
          <w:shd w:val="clear" w:color="auto" w:fill="FFFFFF"/>
          <w:lang w:eastAsia="cs-CZ"/>
        </w:rPr>
        <w:t> </w:t>
      </w:r>
      <w:r w:rsidRPr="00DC44AF">
        <w:rPr>
          <w:rFonts w:ascii="Corbel" w:hAnsi="Corbel" w:cs="Segoe UI"/>
          <w:color w:val="7F8481"/>
          <w:sz w:val="21"/>
          <w:szCs w:val="21"/>
          <w:shd w:val="clear" w:color="auto" w:fill="FFFFFF"/>
          <w:lang w:eastAsia="cs-CZ"/>
        </w:rPr>
        <w:t>ú</w:t>
      </w:r>
      <w:r w:rsidRPr="00DC44AF">
        <w:rPr>
          <w:rFonts w:ascii="Calibre" w:hAnsi="Calibre" w:cs="Segoe UI"/>
          <w:color w:val="7F8481"/>
          <w:sz w:val="21"/>
          <w:szCs w:val="21"/>
          <w:shd w:val="clear" w:color="auto" w:fill="FFFFFF"/>
          <w:lang w:eastAsia="cs-CZ"/>
        </w:rPr>
        <w:t>dr</w:t>
      </w:r>
      <w:r w:rsidRPr="00DC44AF">
        <w:rPr>
          <w:rFonts w:ascii="Corbel" w:hAnsi="Corbel" w:cs="Segoe UI"/>
          <w:color w:val="7F8481"/>
          <w:sz w:val="21"/>
          <w:szCs w:val="21"/>
          <w:shd w:val="clear" w:color="auto" w:fill="FFFFFF"/>
          <w:lang w:eastAsia="cs-CZ"/>
        </w:rPr>
        <w:t>ž</w:t>
      </w:r>
      <w:r w:rsidRPr="00DC44AF">
        <w:rPr>
          <w:rFonts w:ascii="Calibre" w:hAnsi="Calibre" w:cs="Segoe UI"/>
          <w:color w:val="7F8481"/>
          <w:sz w:val="21"/>
          <w:szCs w:val="21"/>
          <w:shd w:val="clear" w:color="auto" w:fill="FFFFFF"/>
          <w:lang w:eastAsia="cs-CZ"/>
        </w:rPr>
        <w:t>by nemovitost</w:t>
      </w:r>
      <w:r w:rsidRPr="00DC44AF">
        <w:rPr>
          <w:rFonts w:ascii="Corbel" w:hAnsi="Corbel" w:cs="Segoe UI"/>
          <w:color w:val="7F8481"/>
          <w:sz w:val="21"/>
          <w:szCs w:val="21"/>
          <w:shd w:val="clear" w:color="auto" w:fill="FFFFFF"/>
          <w:lang w:eastAsia="cs-CZ"/>
        </w:rPr>
        <w:t>í</w:t>
      </w:r>
      <w:r w:rsidRPr="00DC44AF">
        <w:rPr>
          <w:rFonts w:ascii="Calibre" w:hAnsi="Calibre" w:cs="Segoe UI"/>
          <w:color w:val="7F8481"/>
          <w:sz w:val="21"/>
          <w:szCs w:val="21"/>
          <w:shd w:val="clear" w:color="auto" w:fill="FFFFFF"/>
          <w:lang w:eastAsia="cs-CZ"/>
        </w:rPr>
        <w:t>, obchodn</w:t>
      </w:r>
      <w:r w:rsidRPr="00DC44AF">
        <w:rPr>
          <w:rFonts w:ascii="Corbel" w:hAnsi="Corbel" w:cs="Segoe UI"/>
          <w:color w:val="7F8481"/>
          <w:sz w:val="21"/>
          <w:szCs w:val="21"/>
          <w:shd w:val="clear" w:color="auto" w:fill="FFFFFF"/>
          <w:lang w:eastAsia="cs-CZ"/>
        </w:rPr>
        <w:t>í</w:t>
      </w:r>
      <w:r w:rsidRPr="00DC44AF">
        <w:rPr>
          <w:rFonts w:ascii="Calibre" w:hAnsi="Calibre" w:cs="Segoe UI"/>
          <w:color w:val="7F8481"/>
          <w:sz w:val="21"/>
          <w:szCs w:val="21"/>
          <w:shd w:val="clear" w:color="auto" w:fill="FFFFFF"/>
          <w:lang w:eastAsia="cs-CZ"/>
        </w:rPr>
        <w:t>ch transakc</w:t>
      </w:r>
      <w:r w:rsidRPr="00DC44AF">
        <w:rPr>
          <w:rFonts w:ascii="Corbel" w:hAnsi="Corbel" w:cs="Segoe UI"/>
          <w:color w:val="7F8481"/>
          <w:sz w:val="21"/>
          <w:szCs w:val="21"/>
          <w:shd w:val="clear" w:color="auto" w:fill="FFFFFF"/>
          <w:lang w:eastAsia="cs-CZ"/>
        </w:rPr>
        <w:t>í</w:t>
      </w:r>
      <w:r w:rsidRPr="00DC44AF">
        <w:rPr>
          <w:rFonts w:ascii="Calibre" w:hAnsi="Calibre" w:cs="Segoe UI"/>
          <w:color w:val="7F8481"/>
          <w:sz w:val="21"/>
          <w:szCs w:val="21"/>
          <w:shd w:val="clear" w:color="auto" w:fill="FFFFFF"/>
          <w:lang w:eastAsia="cs-CZ"/>
        </w:rPr>
        <w:t>, projektov</w:t>
      </w:r>
      <w:r w:rsidRPr="00DC44AF">
        <w:rPr>
          <w:rFonts w:ascii="Corbel" w:hAnsi="Corbel" w:cs="Segoe UI"/>
          <w:color w:val="7F8481"/>
          <w:sz w:val="21"/>
          <w:szCs w:val="21"/>
          <w:shd w:val="clear" w:color="auto" w:fill="FFFFFF"/>
          <w:lang w:eastAsia="cs-CZ"/>
        </w:rPr>
        <w:t>é</w:t>
      </w:r>
      <w:r w:rsidRPr="00DC44AF">
        <w:rPr>
          <w:rFonts w:ascii="Calibre" w:hAnsi="Calibre" w:cs="Segoe UI"/>
          <w:color w:val="7F8481"/>
          <w:sz w:val="21"/>
          <w:szCs w:val="21"/>
          <w:shd w:val="clear" w:color="auto" w:fill="FFFFFF"/>
          <w:lang w:eastAsia="cs-CZ"/>
        </w:rPr>
        <w:t>ho managementu, investi</w:t>
      </w:r>
      <w:r w:rsidRPr="00DC44AF">
        <w:rPr>
          <w:rFonts w:ascii="Corbel" w:hAnsi="Corbel" w:cs="Segoe UI"/>
          <w:color w:val="7F8481"/>
          <w:sz w:val="21"/>
          <w:szCs w:val="21"/>
          <w:shd w:val="clear" w:color="auto" w:fill="FFFFFF"/>
          <w:lang w:eastAsia="cs-CZ"/>
        </w:rPr>
        <w:t>č</w:t>
      </w:r>
      <w:r w:rsidRPr="00DC44AF">
        <w:rPr>
          <w:rFonts w:ascii="Calibre" w:hAnsi="Calibre" w:cs="Segoe UI"/>
          <w:color w:val="7F8481"/>
          <w:sz w:val="21"/>
          <w:szCs w:val="21"/>
          <w:shd w:val="clear" w:color="auto" w:fill="FFFFFF"/>
          <w:lang w:eastAsia="cs-CZ"/>
        </w:rPr>
        <w:t>n</w:t>
      </w:r>
      <w:r w:rsidRPr="00DC44AF">
        <w:rPr>
          <w:rFonts w:ascii="Corbel" w:hAnsi="Corbel" w:cs="Segoe UI"/>
          <w:color w:val="7F8481"/>
          <w:sz w:val="21"/>
          <w:szCs w:val="21"/>
          <w:shd w:val="clear" w:color="auto" w:fill="FFFFFF"/>
          <w:lang w:eastAsia="cs-CZ"/>
        </w:rPr>
        <w:t>í</w:t>
      </w:r>
      <w:r w:rsidRPr="00DC44AF">
        <w:rPr>
          <w:rFonts w:ascii="Calibre" w:hAnsi="Calibre" w:cs="Segoe UI"/>
          <w:color w:val="7F8481"/>
          <w:sz w:val="21"/>
          <w:szCs w:val="21"/>
          <w:shd w:val="clear" w:color="auto" w:fill="FFFFFF"/>
          <w:lang w:eastAsia="cs-CZ"/>
        </w:rPr>
        <w:t>ho poradenstv</w:t>
      </w:r>
      <w:r w:rsidRPr="00DC44AF">
        <w:rPr>
          <w:rFonts w:ascii="Corbel" w:hAnsi="Corbel" w:cs="Segoe UI"/>
          <w:color w:val="7F8481"/>
          <w:sz w:val="21"/>
          <w:szCs w:val="21"/>
          <w:shd w:val="clear" w:color="auto" w:fill="FFFFFF"/>
          <w:lang w:eastAsia="cs-CZ"/>
        </w:rPr>
        <w:t>í</w:t>
      </w:r>
      <w:r w:rsidRPr="00DC44AF">
        <w:rPr>
          <w:rFonts w:ascii="Calibre" w:hAnsi="Calibre" w:cs="Segoe UI"/>
          <w:color w:val="7F8481"/>
          <w:sz w:val="21"/>
          <w:szCs w:val="21"/>
          <w:shd w:val="clear" w:color="auto" w:fill="FFFFFF"/>
          <w:lang w:eastAsia="cs-CZ"/>
        </w:rPr>
        <w:t xml:space="preserve"> p</w:t>
      </w:r>
      <w:r w:rsidRPr="00DC44AF">
        <w:rPr>
          <w:rFonts w:ascii="Corbel" w:hAnsi="Corbel" w:cs="Segoe UI"/>
          <w:color w:val="7F8481"/>
          <w:sz w:val="21"/>
          <w:szCs w:val="21"/>
          <w:shd w:val="clear" w:color="auto" w:fill="FFFFFF"/>
          <w:lang w:eastAsia="cs-CZ"/>
        </w:rPr>
        <w:t>ř</w:t>
      </w:r>
      <w:r w:rsidRPr="00DC44AF">
        <w:rPr>
          <w:rFonts w:ascii="Calibre" w:hAnsi="Calibre" w:cs="Segoe UI"/>
          <w:color w:val="7F8481"/>
          <w:sz w:val="21"/>
          <w:szCs w:val="21"/>
          <w:shd w:val="clear" w:color="auto" w:fill="FFFFFF"/>
          <w:lang w:eastAsia="cs-CZ"/>
        </w:rPr>
        <w:t>es oce</w:t>
      </w:r>
      <w:r w:rsidRPr="00DC44AF">
        <w:rPr>
          <w:rFonts w:ascii="Corbel" w:hAnsi="Corbel" w:cs="Segoe UI"/>
          <w:color w:val="7F8481"/>
          <w:sz w:val="21"/>
          <w:szCs w:val="21"/>
          <w:shd w:val="clear" w:color="auto" w:fill="FFFFFF"/>
          <w:lang w:eastAsia="cs-CZ"/>
        </w:rPr>
        <w:t>ň</w:t>
      </w:r>
      <w:r w:rsidRPr="00DC44AF">
        <w:rPr>
          <w:rFonts w:ascii="Calibre" w:hAnsi="Calibre" w:cs="Segoe UI"/>
          <w:color w:val="7F8481"/>
          <w:sz w:val="21"/>
          <w:szCs w:val="21"/>
          <w:shd w:val="clear" w:color="auto" w:fill="FFFFFF"/>
          <w:lang w:eastAsia="cs-CZ"/>
        </w:rPr>
        <w:t>ov</w:t>
      </w:r>
      <w:r w:rsidRPr="00DC44AF">
        <w:rPr>
          <w:rFonts w:ascii="Corbel" w:hAnsi="Corbel" w:cs="Segoe UI"/>
          <w:color w:val="7F8481"/>
          <w:sz w:val="21"/>
          <w:szCs w:val="21"/>
          <w:shd w:val="clear" w:color="auto" w:fill="FFFFFF"/>
          <w:lang w:eastAsia="cs-CZ"/>
        </w:rPr>
        <w:t>á</w:t>
      </w:r>
      <w:r w:rsidRPr="00DC44AF">
        <w:rPr>
          <w:rFonts w:ascii="Calibre" w:hAnsi="Calibre" w:cs="Segoe UI"/>
          <w:color w:val="7F8481"/>
          <w:sz w:val="21"/>
          <w:szCs w:val="21"/>
          <w:shd w:val="clear" w:color="auto" w:fill="FFFFFF"/>
          <w:lang w:eastAsia="cs-CZ"/>
        </w:rPr>
        <w:t>n</w:t>
      </w:r>
      <w:r w:rsidRPr="00DC44AF">
        <w:rPr>
          <w:rFonts w:ascii="Corbel" w:hAnsi="Corbel" w:cs="Segoe UI"/>
          <w:color w:val="7F8481"/>
          <w:sz w:val="21"/>
          <w:szCs w:val="21"/>
          <w:shd w:val="clear" w:color="auto" w:fill="FFFFFF"/>
          <w:lang w:eastAsia="cs-CZ"/>
        </w:rPr>
        <w:t>í</w:t>
      </w:r>
      <w:r w:rsidRPr="00DC44AF">
        <w:rPr>
          <w:rFonts w:ascii="Calibre" w:hAnsi="Calibre" w:cs="Segoe UI"/>
          <w:color w:val="7F8481"/>
          <w:sz w:val="21"/>
          <w:szCs w:val="21"/>
          <w:shd w:val="clear" w:color="auto" w:fill="FFFFFF"/>
          <w:lang w:eastAsia="cs-CZ"/>
        </w:rPr>
        <w:t xml:space="preserve"> nemovitost</w:t>
      </w:r>
      <w:r w:rsidRPr="00DC44AF">
        <w:rPr>
          <w:rFonts w:ascii="Corbel" w:hAnsi="Corbel" w:cs="Segoe UI"/>
          <w:color w:val="7F8481"/>
          <w:sz w:val="21"/>
          <w:szCs w:val="21"/>
          <w:shd w:val="clear" w:color="auto" w:fill="FFFFFF"/>
          <w:lang w:eastAsia="cs-CZ"/>
        </w:rPr>
        <w:t>í</w:t>
      </w:r>
      <w:r w:rsidRPr="00DC44AF">
        <w:rPr>
          <w:rFonts w:ascii="Calibre" w:hAnsi="Calibre" w:cs="Segoe UI"/>
          <w:color w:val="7F8481"/>
          <w:sz w:val="21"/>
          <w:szCs w:val="21"/>
          <w:shd w:val="clear" w:color="auto" w:fill="FFFFFF"/>
          <w:lang w:eastAsia="cs-CZ"/>
        </w:rPr>
        <w:t>, pron</w:t>
      </w:r>
      <w:r w:rsidRPr="00DC44AF">
        <w:rPr>
          <w:rFonts w:ascii="Corbel" w:hAnsi="Corbel" w:cs="Segoe UI"/>
          <w:color w:val="7F8481"/>
          <w:sz w:val="21"/>
          <w:szCs w:val="21"/>
          <w:shd w:val="clear" w:color="auto" w:fill="FFFFFF"/>
          <w:lang w:eastAsia="cs-CZ"/>
        </w:rPr>
        <w:t>á</w:t>
      </w:r>
      <w:r w:rsidRPr="00DC44AF">
        <w:rPr>
          <w:rFonts w:ascii="Calibre" w:hAnsi="Calibre" w:cs="Segoe UI"/>
          <w:color w:val="7F8481"/>
          <w:sz w:val="21"/>
          <w:szCs w:val="21"/>
          <w:shd w:val="clear" w:color="auto" w:fill="FFFFFF"/>
          <w:lang w:eastAsia="cs-CZ"/>
        </w:rPr>
        <w:t>jem a prodej nemovitost</w:t>
      </w:r>
      <w:r w:rsidRPr="00DC44AF">
        <w:rPr>
          <w:rFonts w:ascii="Corbel" w:hAnsi="Corbel" w:cs="Segoe UI"/>
          <w:color w:val="7F8481"/>
          <w:sz w:val="21"/>
          <w:szCs w:val="21"/>
          <w:shd w:val="clear" w:color="auto" w:fill="FFFFFF"/>
          <w:lang w:eastAsia="cs-CZ"/>
        </w:rPr>
        <w:t>í</w:t>
      </w:r>
      <w:r w:rsidRPr="00DC44AF">
        <w:rPr>
          <w:rFonts w:ascii="Calibre" w:hAnsi="Calibre" w:cs="Segoe UI"/>
          <w:color w:val="7F8481"/>
          <w:sz w:val="21"/>
          <w:szCs w:val="21"/>
          <w:shd w:val="clear" w:color="auto" w:fill="FFFFFF"/>
          <w:lang w:eastAsia="cs-CZ"/>
        </w:rPr>
        <w:t>, strategick</w:t>
      </w:r>
      <w:r w:rsidRPr="00DC44AF">
        <w:rPr>
          <w:rFonts w:ascii="Corbel" w:hAnsi="Corbel" w:cs="Segoe UI"/>
          <w:color w:val="7F8481"/>
          <w:sz w:val="21"/>
          <w:szCs w:val="21"/>
          <w:shd w:val="clear" w:color="auto" w:fill="FFFFFF"/>
          <w:lang w:eastAsia="cs-CZ"/>
        </w:rPr>
        <w:t>é</w:t>
      </w:r>
      <w:r w:rsidRPr="00DC44AF">
        <w:rPr>
          <w:rFonts w:ascii="Calibre" w:hAnsi="Calibre" w:cs="Segoe UI"/>
          <w:color w:val="7F8481"/>
          <w:sz w:val="21"/>
          <w:szCs w:val="21"/>
          <w:shd w:val="clear" w:color="auto" w:fill="FFFFFF"/>
          <w:lang w:eastAsia="cs-CZ"/>
        </w:rPr>
        <w:t xml:space="preserve"> poradenstv</w:t>
      </w:r>
      <w:r w:rsidRPr="00DC44AF">
        <w:rPr>
          <w:rFonts w:ascii="Corbel" w:hAnsi="Corbel" w:cs="Segoe UI"/>
          <w:color w:val="7F8481"/>
          <w:sz w:val="21"/>
          <w:szCs w:val="21"/>
          <w:shd w:val="clear" w:color="auto" w:fill="FFFFFF"/>
          <w:lang w:eastAsia="cs-CZ"/>
        </w:rPr>
        <w:t>í</w:t>
      </w:r>
      <w:r w:rsidRPr="00DC44AF">
        <w:rPr>
          <w:rFonts w:ascii="Calibre" w:hAnsi="Calibre" w:cs="Segoe UI"/>
          <w:color w:val="7F8481"/>
          <w:sz w:val="21"/>
          <w:szCs w:val="21"/>
          <w:shd w:val="clear" w:color="auto" w:fill="FFFFFF"/>
          <w:lang w:eastAsia="cs-CZ"/>
        </w:rPr>
        <w:t xml:space="preserve"> a</w:t>
      </w:r>
      <w:r w:rsidRPr="00DC44AF">
        <w:rPr>
          <w:rFonts w:ascii="Corbel" w:hAnsi="Corbel" w:cs="Segoe UI"/>
          <w:color w:val="7F8481"/>
          <w:sz w:val="21"/>
          <w:szCs w:val="21"/>
          <w:shd w:val="clear" w:color="auto" w:fill="FFFFFF"/>
          <w:lang w:eastAsia="cs-CZ"/>
        </w:rPr>
        <w:t>ž</w:t>
      </w:r>
      <w:r w:rsidRPr="00DC44AF">
        <w:rPr>
          <w:rFonts w:ascii="Calibre" w:hAnsi="Calibre" w:cs="Segoe UI"/>
          <w:color w:val="7F8481"/>
          <w:sz w:val="21"/>
          <w:szCs w:val="21"/>
          <w:shd w:val="clear" w:color="auto" w:fill="FFFFFF"/>
          <w:lang w:eastAsia="cs-CZ"/>
        </w:rPr>
        <w:t xml:space="preserve"> po hypote</w:t>
      </w:r>
      <w:r w:rsidRPr="00DC44AF">
        <w:rPr>
          <w:rFonts w:ascii="Corbel" w:hAnsi="Corbel" w:cs="Segoe UI"/>
          <w:color w:val="7F8481"/>
          <w:sz w:val="21"/>
          <w:szCs w:val="21"/>
          <w:shd w:val="clear" w:color="auto" w:fill="FFFFFF"/>
          <w:lang w:eastAsia="cs-CZ"/>
        </w:rPr>
        <w:t>č</w:t>
      </w:r>
      <w:r w:rsidRPr="00DC44AF">
        <w:rPr>
          <w:rFonts w:ascii="Calibre" w:hAnsi="Calibre" w:cs="Segoe UI"/>
          <w:color w:val="7F8481"/>
          <w:sz w:val="21"/>
          <w:szCs w:val="21"/>
          <w:shd w:val="clear" w:color="auto" w:fill="FFFFFF"/>
          <w:lang w:eastAsia="cs-CZ"/>
        </w:rPr>
        <w:t>n</w:t>
      </w:r>
      <w:r w:rsidRPr="00DC44AF">
        <w:rPr>
          <w:rFonts w:ascii="Corbel" w:hAnsi="Corbel" w:cs="Segoe UI"/>
          <w:color w:val="7F8481"/>
          <w:sz w:val="21"/>
          <w:szCs w:val="21"/>
          <w:shd w:val="clear" w:color="auto" w:fill="FFFFFF"/>
          <w:lang w:eastAsia="cs-CZ"/>
        </w:rPr>
        <w:t>í</w:t>
      </w:r>
      <w:r w:rsidRPr="00DC44AF">
        <w:rPr>
          <w:rFonts w:ascii="Calibre" w:hAnsi="Calibre" w:cs="Segoe UI"/>
          <w:color w:val="7F8481"/>
          <w:sz w:val="21"/>
          <w:szCs w:val="21"/>
          <w:shd w:val="clear" w:color="auto" w:fill="FFFFFF"/>
          <w:lang w:eastAsia="cs-CZ"/>
        </w:rPr>
        <w:t xml:space="preserve"> a developersk</w:t>
      </w:r>
      <w:r w:rsidRPr="00DC44AF">
        <w:rPr>
          <w:rFonts w:ascii="Corbel" w:hAnsi="Corbel" w:cs="Segoe UI"/>
          <w:color w:val="7F8481"/>
          <w:sz w:val="21"/>
          <w:szCs w:val="21"/>
          <w:shd w:val="clear" w:color="auto" w:fill="FFFFFF"/>
          <w:lang w:eastAsia="cs-CZ"/>
        </w:rPr>
        <w:t>é</w:t>
      </w:r>
      <w:r w:rsidRPr="00DC44AF">
        <w:rPr>
          <w:rFonts w:ascii="Calibre" w:hAnsi="Calibre" w:cs="Segoe UI"/>
          <w:color w:val="7F8481"/>
          <w:sz w:val="21"/>
          <w:szCs w:val="21"/>
          <w:shd w:val="clear" w:color="auto" w:fill="FFFFFF"/>
          <w:lang w:eastAsia="cs-CZ"/>
        </w:rPr>
        <w:t xml:space="preserve"> slu</w:t>
      </w:r>
      <w:r w:rsidRPr="00DC44AF">
        <w:rPr>
          <w:rFonts w:ascii="Corbel" w:hAnsi="Corbel" w:cs="Segoe UI"/>
          <w:color w:val="7F8481"/>
          <w:sz w:val="21"/>
          <w:szCs w:val="21"/>
          <w:shd w:val="clear" w:color="auto" w:fill="FFFFFF"/>
          <w:lang w:eastAsia="cs-CZ"/>
        </w:rPr>
        <w:t>ž</w:t>
      </w:r>
      <w:r w:rsidRPr="00DC44AF">
        <w:rPr>
          <w:rFonts w:ascii="Calibre" w:hAnsi="Calibre" w:cs="Segoe UI"/>
          <w:color w:val="7F8481"/>
          <w:sz w:val="21"/>
          <w:szCs w:val="21"/>
          <w:shd w:val="clear" w:color="auto" w:fill="FFFFFF"/>
          <w:lang w:eastAsia="cs-CZ"/>
        </w:rPr>
        <w:t>by. S t</w:t>
      </w:r>
      <w:r w:rsidRPr="00DC44AF">
        <w:rPr>
          <w:rFonts w:ascii="Corbel" w:hAnsi="Corbel" w:cs="Segoe UI"/>
          <w:color w:val="7F8481"/>
          <w:sz w:val="21"/>
          <w:szCs w:val="21"/>
          <w:shd w:val="clear" w:color="auto" w:fill="FFFFFF"/>
          <w:lang w:eastAsia="cs-CZ"/>
        </w:rPr>
        <w:t>é</w:t>
      </w:r>
      <w:r w:rsidRPr="00DC44AF">
        <w:rPr>
          <w:rFonts w:ascii="Calibre" w:hAnsi="Calibre" w:cs="Segoe UI"/>
          <w:color w:val="7F8481"/>
          <w:sz w:val="21"/>
          <w:szCs w:val="21"/>
          <w:shd w:val="clear" w:color="auto" w:fill="FFFFFF"/>
          <w:lang w:eastAsia="cs-CZ"/>
        </w:rPr>
        <w:t>m</w:t>
      </w:r>
      <w:r w:rsidRPr="00DC44AF">
        <w:rPr>
          <w:rFonts w:ascii="Corbel" w:hAnsi="Corbel" w:cs="Segoe UI"/>
          <w:color w:val="7F8481"/>
          <w:sz w:val="21"/>
          <w:szCs w:val="21"/>
          <w:shd w:val="clear" w:color="auto" w:fill="FFFFFF"/>
          <w:lang w:eastAsia="cs-CZ"/>
        </w:rPr>
        <w:t>ěř</w:t>
      </w:r>
      <w:r w:rsidRPr="00DC44AF">
        <w:rPr>
          <w:rFonts w:ascii="Calibre" w:hAnsi="Calibre" w:cs="Segoe UI"/>
          <w:color w:val="7F8481"/>
          <w:sz w:val="21"/>
          <w:szCs w:val="21"/>
          <w:shd w:val="clear" w:color="auto" w:fill="FFFFFF"/>
          <w:lang w:eastAsia="cs-CZ"/>
        </w:rPr>
        <w:t xml:space="preserve"> 300 zaměstnanci CBRE v České republice spravuje kolem 75 objektů komerčních budov o celkové rozloze cca 1,2 mil. m</w:t>
      </w:r>
      <w:r w:rsidRPr="00DC44AF">
        <w:rPr>
          <w:rFonts w:ascii="Calibre" w:hAnsi="Calibre" w:cs="Segoe UI"/>
          <w:color w:val="7F8481"/>
          <w:sz w:val="12"/>
          <w:szCs w:val="12"/>
          <w:shd w:val="clear" w:color="auto" w:fill="FFFFFF"/>
          <w:vertAlign w:val="superscript"/>
          <w:lang w:eastAsia="cs-CZ"/>
        </w:rPr>
        <w:t>2</w:t>
      </w:r>
      <w:r w:rsidRPr="00DC44AF">
        <w:rPr>
          <w:rFonts w:ascii="Calibre" w:hAnsi="Calibre" w:cs="Segoe UI"/>
          <w:color w:val="7F8481"/>
          <w:sz w:val="21"/>
          <w:szCs w:val="21"/>
          <w:shd w:val="clear" w:color="auto" w:fill="FFFFFF"/>
          <w:lang w:eastAsia="cs-CZ"/>
        </w:rPr>
        <w:t>. Pro</w:t>
      </w:r>
      <w:r w:rsidRPr="00DC44AF">
        <w:rPr>
          <w:rFonts w:ascii="Arial" w:hAnsi="Arial" w:cs="Arial"/>
          <w:color w:val="7F8481"/>
          <w:sz w:val="21"/>
          <w:szCs w:val="21"/>
          <w:shd w:val="clear" w:color="auto" w:fill="FFFFFF"/>
          <w:lang w:eastAsia="cs-CZ"/>
        </w:rPr>
        <w:t> </w:t>
      </w:r>
      <w:r w:rsidRPr="00DC44AF">
        <w:rPr>
          <w:rFonts w:ascii="Calibre" w:hAnsi="Calibre" w:cs="Segoe UI"/>
          <w:color w:val="7F8481"/>
          <w:sz w:val="21"/>
          <w:szCs w:val="21"/>
          <w:shd w:val="clear" w:color="auto" w:fill="FFFFFF"/>
          <w:lang w:eastAsia="cs-CZ"/>
        </w:rPr>
        <w:t>v</w:t>
      </w:r>
      <w:r w:rsidRPr="00DC44AF">
        <w:rPr>
          <w:rFonts w:ascii="Corbel" w:hAnsi="Corbel" w:cs="Segoe UI"/>
          <w:color w:val="7F8481"/>
          <w:sz w:val="21"/>
          <w:szCs w:val="21"/>
          <w:shd w:val="clear" w:color="auto" w:fill="FFFFFF"/>
          <w:lang w:eastAsia="cs-CZ"/>
        </w:rPr>
        <w:t>í</w:t>
      </w:r>
      <w:r w:rsidRPr="00DC44AF">
        <w:rPr>
          <w:rFonts w:ascii="Calibre" w:hAnsi="Calibre" w:cs="Segoe UI"/>
          <w:color w:val="7F8481"/>
          <w:sz w:val="21"/>
          <w:szCs w:val="21"/>
          <w:shd w:val="clear" w:color="auto" w:fill="FFFFFF"/>
          <w:lang w:eastAsia="cs-CZ"/>
        </w:rPr>
        <w:t>ce informac</w:t>
      </w:r>
      <w:r w:rsidRPr="00DC44AF">
        <w:rPr>
          <w:rFonts w:ascii="Corbel" w:hAnsi="Corbel" w:cs="Segoe UI"/>
          <w:color w:val="7F8481"/>
          <w:sz w:val="21"/>
          <w:szCs w:val="21"/>
          <w:shd w:val="clear" w:color="auto" w:fill="FFFFFF"/>
          <w:lang w:eastAsia="cs-CZ"/>
        </w:rPr>
        <w:t>í</w:t>
      </w:r>
      <w:r w:rsidRPr="00DC44AF">
        <w:rPr>
          <w:rFonts w:ascii="Calibre" w:hAnsi="Calibre" w:cs="Segoe UI"/>
          <w:color w:val="7F8481"/>
          <w:sz w:val="21"/>
          <w:szCs w:val="21"/>
          <w:shd w:val="clear" w:color="auto" w:fill="FFFFFF"/>
          <w:lang w:eastAsia="cs-CZ"/>
        </w:rPr>
        <w:t xml:space="preserve"> nav</w:t>
      </w:r>
      <w:r w:rsidRPr="00DC44AF">
        <w:rPr>
          <w:rFonts w:ascii="Corbel" w:hAnsi="Corbel" w:cs="Segoe UI"/>
          <w:color w:val="7F8481"/>
          <w:sz w:val="21"/>
          <w:szCs w:val="21"/>
          <w:shd w:val="clear" w:color="auto" w:fill="FFFFFF"/>
          <w:lang w:eastAsia="cs-CZ"/>
        </w:rPr>
        <w:t>š</w:t>
      </w:r>
      <w:r w:rsidRPr="00DC44AF">
        <w:rPr>
          <w:rFonts w:ascii="Calibre" w:hAnsi="Calibre" w:cs="Segoe UI"/>
          <w:color w:val="7F8481"/>
          <w:sz w:val="21"/>
          <w:szCs w:val="21"/>
          <w:shd w:val="clear" w:color="auto" w:fill="FFFFFF"/>
          <w:lang w:eastAsia="cs-CZ"/>
        </w:rPr>
        <w:t>tivte internetov</w:t>
      </w:r>
      <w:r w:rsidRPr="00DC44AF">
        <w:rPr>
          <w:rFonts w:ascii="Corbel" w:hAnsi="Corbel" w:cs="Segoe UI"/>
          <w:color w:val="7F8481"/>
          <w:sz w:val="21"/>
          <w:szCs w:val="21"/>
          <w:shd w:val="clear" w:color="auto" w:fill="FFFFFF"/>
          <w:lang w:eastAsia="cs-CZ"/>
        </w:rPr>
        <w:t>é</w:t>
      </w:r>
      <w:r w:rsidRPr="00DC44AF">
        <w:rPr>
          <w:rFonts w:ascii="Calibre" w:hAnsi="Calibre" w:cs="Segoe UI"/>
          <w:color w:val="7F8481"/>
          <w:sz w:val="21"/>
          <w:szCs w:val="21"/>
          <w:shd w:val="clear" w:color="auto" w:fill="FFFFFF"/>
          <w:lang w:eastAsia="cs-CZ"/>
        </w:rPr>
        <w:t xml:space="preserve"> str</w:t>
      </w:r>
      <w:r w:rsidRPr="00DC44AF">
        <w:rPr>
          <w:rFonts w:ascii="Corbel" w:hAnsi="Corbel" w:cs="Segoe UI"/>
          <w:color w:val="7F8481"/>
          <w:sz w:val="21"/>
          <w:szCs w:val="21"/>
          <w:shd w:val="clear" w:color="auto" w:fill="FFFFFF"/>
          <w:lang w:eastAsia="cs-CZ"/>
        </w:rPr>
        <w:t>á</w:t>
      </w:r>
      <w:r w:rsidRPr="00DC44AF">
        <w:rPr>
          <w:rFonts w:ascii="Calibre" w:hAnsi="Calibre" w:cs="Segoe UI"/>
          <w:color w:val="7F8481"/>
          <w:sz w:val="21"/>
          <w:szCs w:val="21"/>
          <w:shd w:val="clear" w:color="auto" w:fill="FFFFFF"/>
          <w:lang w:eastAsia="cs-CZ"/>
        </w:rPr>
        <w:t>nky spole</w:t>
      </w:r>
      <w:r w:rsidRPr="00DC44AF">
        <w:rPr>
          <w:rFonts w:ascii="Corbel" w:hAnsi="Corbel" w:cs="Segoe UI"/>
          <w:color w:val="7F8481"/>
          <w:sz w:val="21"/>
          <w:szCs w:val="21"/>
          <w:shd w:val="clear" w:color="auto" w:fill="FFFFFF"/>
          <w:lang w:eastAsia="cs-CZ"/>
        </w:rPr>
        <w:t>č</w:t>
      </w:r>
      <w:r w:rsidRPr="00DC44AF">
        <w:rPr>
          <w:rFonts w:ascii="Calibre" w:hAnsi="Calibre" w:cs="Segoe UI"/>
          <w:color w:val="7F8481"/>
          <w:sz w:val="21"/>
          <w:szCs w:val="21"/>
          <w:shd w:val="clear" w:color="auto" w:fill="FFFFFF"/>
          <w:lang w:eastAsia="cs-CZ"/>
        </w:rPr>
        <w:t xml:space="preserve">nosti na </w:t>
      </w:r>
      <w:hyperlink w:tgtFrame="_blank" w:history="1" r:id="rId18">
        <w:r w:rsidRPr="00DC44AF">
          <w:rPr>
            <w:rFonts w:ascii="Calibre" w:hAnsi="Calibre" w:cs="Segoe UI"/>
            <w:color w:val="80BBAD"/>
            <w:sz w:val="21"/>
            <w:szCs w:val="21"/>
            <w:u w:val="single"/>
            <w:shd w:val="clear" w:color="auto" w:fill="FFFFFF"/>
            <w:lang w:eastAsia="cs-CZ"/>
          </w:rPr>
          <w:t>www.cbre.cz</w:t>
        </w:r>
      </w:hyperlink>
      <w:r w:rsidRPr="00DC44AF">
        <w:rPr>
          <w:rFonts w:ascii="Calibre" w:hAnsi="Calibre" w:cs="Segoe UI"/>
          <w:color w:val="7F8481"/>
          <w:sz w:val="21"/>
          <w:szCs w:val="21"/>
          <w:shd w:val="clear" w:color="auto" w:fill="FFFFFF"/>
          <w:lang w:eastAsia="cs-CZ"/>
        </w:rPr>
        <w:t>.</w:t>
      </w:r>
      <w:r w:rsidRPr="00DC44AF">
        <w:rPr>
          <w:rFonts w:ascii="Arial" w:hAnsi="Arial" w:cs="Arial"/>
          <w:color w:val="7F8481"/>
          <w:sz w:val="21"/>
          <w:szCs w:val="21"/>
          <w:shd w:val="clear" w:color="auto" w:fill="FFFFFF"/>
          <w:lang w:eastAsia="cs-CZ"/>
        </w:rPr>
        <w:t> </w:t>
      </w:r>
      <w:r w:rsidRPr="00DC44AF">
        <w:rPr>
          <w:rFonts w:ascii="Calibre" w:hAnsi="Calibre" w:cs="Segoe UI"/>
          <w:color w:val="7F8481"/>
          <w:sz w:val="21"/>
          <w:szCs w:val="21"/>
          <w:lang w:eastAsia="cs-CZ"/>
        </w:rPr>
        <w:t> </w:t>
      </w:r>
    </w:p>
    <w:p w:rsidR="00DC44AF" w:rsidP="00784D2C" w:rsidRDefault="00DC44AF" w14:paraId="5CC65DB9" w14:textId="77777777">
      <w:pPr>
        <w:pStyle w:val="Contact"/>
        <w:jc w:val="both"/>
      </w:pPr>
    </w:p>
    <w:sectPr w:rsidR="00DC44AF" w:rsidSect="00E01C37">
      <w:headerReference w:type="default" r:id="rId19"/>
      <w:headerReference w:type="first" r:id="rId20"/>
      <w:pgSz w:w="12240" w:h="15840" w:orient="portrait"/>
      <w:pgMar w:top="2430" w:right="1080" w:bottom="720" w:left="1080" w:header="18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372" w:rsidP="00C63036" w:rsidRDefault="00267372" w14:paraId="0D4209ED" w14:textId="77777777">
      <w:r>
        <w:separator/>
      </w:r>
    </w:p>
  </w:endnote>
  <w:endnote w:type="continuationSeparator" w:id="0">
    <w:p w:rsidR="00267372" w:rsidP="00C63036" w:rsidRDefault="00267372" w14:paraId="02B6B771" w14:textId="77777777">
      <w:r>
        <w:continuationSeparator/>
      </w:r>
    </w:p>
  </w:endnote>
  <w:endnote w:type="continuationNotice" w:id="1">
    <w:p w:rsidR="00267372" w:rsidRDefault="00267372" w14:paraId="6BE605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Futura Bk BT">
    <w:altName w:val="Segoe UI"/>
    <w:charset w:val="00"/>
    <w:family w:val="swiss"/>
    <w:pitch w:val="variable"/>
    <w:sig w:usb0="800000AF" w:usb1="1000204A" w:usb2="00000000" w:usb3="00000000" w:csb0="0000001B"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e">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372" w:rsidP="00C63036" w:rsidRDefault="00267372" w14:paraId="30CB6F45" w14:textId="77777777">
      <w:r>
        <w:separator/>
      </w:r>
    </w:p>
  </w:footnote>
  <w:footnote w:type="continuationSeparator" w:id="0">
    <w:p w:rsidR="00267372" w:rsidP="00C63036" w:rsidRDefault="00267372" w14:paraId="35FEA63B" w14:textId="77777777">
      <w:r>
        <w:continuationSeparator/>
      </w:r>
    </w:p>
  </w:footnote>
  <w:footnote w:type="continuationNotice" w:id="1">
    <w:p w:rsidR="00267372" w:rsidRDefault="00267372" w14:paraId="664D59AC" w14:textId="77777777"/>
  </w:footnote>
  <w:footnote w:id="2">
    <w:p w:rsidR="008F5860" w:rsidRDefault="008F5860" w14:paraId="6D3D9A5B" w14:textId="4440D8C0">
      <w:pPr>
        <w:pStyle w:val="Textpoznpodarou"/>
      </w:pPr>
      <w:r>
        <w:rPr>
          <w:rStyle w:val="Znakapoznpodarou"/>
        </w:rPr>
        <w:footnoteRef/>
      </w:r>
      <w:r>
        <w:t xml:space="preserve"> Do specializovaného maloobchodu se řadí </w:t>
      </w:r>
      <w:r w:rsidRPr="008F5860">
        <w:t xml:space="preserve">například drogerie, lékárny, optiky, knihkupectví </w:t>
      </w:r>
      <w:r w:rsidR="002B390A">
        <w:t>či</w:t>
      </w:r>
      <w:r w:rsidRPr="008F5860">
        <w:t xml:space="preserve"> hračkářství</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F397C" w:rsidR="00115F2F" w:rsidP="0094537E" w:rsidRDefault="7110F824" w14:paraId="4CE69633" w14:textId="6D891194">
    <w:pPr>
      <w:pStyle w:val="Zhlav"/>
      <w:jc w:val="right"/>
    </w:pPr>
    <w:r w:rsidRPr="7110F824">
      <w:rPr>
        <w:rFonts w:ascii="Calibre" w:hAnsi="Calibre"/>
        <w:color w:val="003D30" w:themeColor="accent6"/>
        <w:sz w:val="16"/>
        <w:szCs w:val="16"/>
      </w:rPr>
      <w:t>CBRE 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5F2F" w:rsidRDefault="00115F2F" w14:paraId="02192A33" w14:textId="77777777">
    <w:pPr>
      <w:pStyle w:val="Zhlav"/>
    </w:pPr>
    <w:r w:rsidRPr="00F51DB7">
      <w:rPr>
        <w:noProof/>
        <w:lang w:eastAsia="cs-CZ"/>
      </w:rPr>
      <mc:AlternateContent>
        <mc:Choice Requires="wps">
          <w:drawing>
            <wp:anchor distT="0" distB="0" distL="114300" distR="114300" simplePos="0" relativeHeight="251658241"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3f2d" strokeweight="2.25pt" from="-.75pt,7.55pt" to="503.25pt,7.55pt" w14:anchorId="7E09C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">
              <v:stroke joinstyle="miter"/>
              <w10:wrap anchorx="margin"/>
            </v:line>
          </w:pict>
        </mc:Fallback>
      </mc:AlternateContent>
    </w:r>
    <w:r w:rsidRPr="00F51DB7">
      <w:rPr>
        <w:noProof/>
        <w:lang w:eastAsia="cs-CZ"/>
      </w:rPr>
      <w:drawing>
        <wp:anchor distT="0" distB="0" distL="114300" distR="114300" simplePos="0" relativeHeight="251658242"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Picture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sidRPr="00F51DB7">
      <w:rPr>
        <w:noProof/>
        <w:lang w:eastAsia="cs-CZ"/>
      </w:rPr>
      <mc:AlternateContent>
        <mc:Choice Requires="wps">
          <w:drawing>
            <wp:anchor distT="0" distB="0" distL="114300" distR="114300" simplePos="0" relativeHeight="251658240"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rsidRPr="00F413B0" w:rsidR="00115F2F" w:rsidP="00F51DB7" w:rsidRDefault="00115F2F" w14:paraId="5F1630B1" w14:textId="56BB85C1">
                          <w:pPr>
                            <w:rPr>
                              <w:b/>
                              <w:bCs/>
                              <w:color w:val="003F2D"/>
                              <w:spacing w:val="-20"/>
                              <w:sz w:val="80"/>
                              <w:szCs w:val="80"/>
                            </w:rPr>
                          </w:pPr>
                          <w:r w:rsidRPr="00485562">
                            <w:rPr>
                              <w:b/>
                              <w:bCs/>
                              <w:color w:val="003F2D"/>
                              <w:spacing w:val="-20"/>
                              <w:sz w:val="80"/>
                              <w:szCs w:val="80"/>
                            </w:rPr>
                            <w:t>Tisková zpráva</w:t>
                          </w:r>
                          <w:r w:rsidRPr="00F413B0">
                            <w:rPr>
                              <w:b/>
                              <w:bCs/>
                              <w:color w:val="003F2D"/>
                              <w:spacing w:val="-20"/>
                              <w:sz w:val="80"/>
                              <w:szCs w:val="80"/>
                            </w:rPr>
                            <w:t xml:space="preserve"> </w:t>
                          </w:r>
                          <w:proofErr w:type="spellStart"/>
                          <w:r w:rsidRPr="00F413B0">
                            <w:rPr>
                              <w:b/>
                              <w:bCs/>
                              <w:color w:val="003F2D"/>
                              <w:spacing w:val="-20"/>
                              <w:sz w:val="80"/>
                              <w:szCs w:val="80"/>
                            </w:rPr>
                            <w:t>Release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FDC6CC">
              <v:stroke joinstyle="miter"/>
              <v:path gradientshapeok="t" o:connecttype="rect"/>
            </v:shapetype>
            <v:shape id="Text Box 3" style="position:absolute;margin-left:-.75pt;margin-top:-54pt;width:349.9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">
              <v:textbox inset="0,0,0,0">
                <w:txbxContent>
                  <w:p w:rsidRPr="00F413B0" w:rsidR="00115F2F" w:rsidP="00F51DB7" w:rsidRDefault="00115F2F" w14:paraId="5F1630B1" w14:textId="56BB85C1">
                    <w:pPr>
                      <w:rPr>
                        <w:b/>
                        <w:bCs/>
                        <w:color w:val="003F2D"/>
                        <w:spacing w:val="-20"/>
                        <w:sz w:val="80"/>
                        <w:szCs w:val="80"/>
                      </w:rPr>
                    </w:pPr>
                    <w:r w:rsidRPr="00485562">
                      <w:rPr>
                        <w:b/>
                        <w:bCs/>
                        <w:color w:val="003F2D"/>
                        <w:spacing w:val="-20"/>
                        <w:sz w:val="80"/>
                        <w:szCs w:val="80"/>
                      </w:rPr>
                      <w:t>Tisková zpráva</w:t>
                    </w:r>
                    <w:r w:rsidRPr="00F413B0">
                      <w:rPr>
                        <w:b/>
                        <w:bCs/>
                        <w:color w:val="003F2D"/>
                        <w:spacing w:val="-20"/>
                        <w:sz w:val="80"/>
                        <w:szCs w:val="80"/>
                      </w:rPr>
                      <w:t xml:space="preserve"> </w:t>
                    </w:r>
                    <w:proofErr w:type="spellStart"/>
                    <w:r w:rsidRPr="00F413B0">
                      <w:rPr>
                        <w:b/>
                        <w:bCs/>
                        <w:color w:val="003F2D"/>
                        <w:spacing w:val="-20"/>
                        <w:sz w:val="80"/>
                        <w:szCs w:val="80"/>
                      </w:rPr>
                      <w:t>Release</w:t>
                    </w:r>
                    <w:proofErr w:type="spell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098"/>
    <w:multiLevelType w:val="hybridMultilevel"/>
    <w:tmpl w:val="82D6F2A4"/>
    <w:lvl w:ilvl="0" w:tplc="48509C48">
      <w:start w:val="1"/>
      <w:numFmt w:val="bullet"/>
      <w:lvlText w:val=""/>
      <w:lvlJc w:val="left"/>
      <w:pPr>
        <w:ind w:left="720" w:hanging="360"/>
      </w:pPr>
      <w:rPr>
        <w:rFonts w:hint="default" w:ascii="Wingdings" w:hAnsi="Wingdings"/>
      </w:rPr>
    </w:lvl>
    <w:lvl w:ilvl="1" w:tplc="094AACC2">
      <w:start w:val="1"/>
      <w:numFmt w:val="bullet"/>
      <w:lvlText w:val="o"/>
      <w:lvlJc w:val="left"/>
      <w:pPr>
        <w:ind w:left="1440" w:hanging="360"/>
      </w:pPr>
      <w:rPr>
        <w:rFonts w:hint="default" w:ascii="Courier New" w:hAnsi="Courier New"/>
      </w:rPr>
    </w:lvl>
    <w:lvl w:ilvl="2" w:tplc="365E28F0">
      <w:start w:val="1"/>
      <w:numFmt w:val="bullet"/>
      <w:lvlText w:val=""/>
      <w:lvlJc w:val="left"/>
      <w:pPr>
        <w:ind w:left="2160" w:hanging="360"/>
      </w:pPr>
      <w:rPr>
        <w:rFonts w:hint="default" w:ascii="Wingdings" w:hAnsi="Wingdings"/>
      </w:rPr>
    </w:lvl>
    <w:lvl w:ilvl="3" w:tplc="D842DA2A">
      <w:start w:val="1"/>
      <w:numFmt w:val="bullet"/>
      <w:lvlText w:val=""/>
      <w:lvlJc w:val="left"/>
      <w:pPr>
        <w:ind w:left="2880" w:hanging="360"/>
      </w:pPr>
      <w:rPr>
        <w:rFonts w:hint="default" w:ascii="Symbol" w:hAnsi="Symbol"/>
      </w:rPr>
    </w:lvl>
    <w:lvl w:ilvl="4" w:tplc="2B20C030">
      <w:start w:val="1"/>
      <w:numFmt w:val="bullet"/>
      <w:lvlText w:val="o"/>
      <w:lvlJc w:val="left"/>
      <w:pPr>
        <w:ind w:left="3600" w:hanging="360"/>
      </w:pPr>
      <w:rPr>
        <w:rFonts w:hint="default" w:ascii="Courier New" w:hAnsi="Courier New"/>
      </w:rPr>
    </w:lvl>
    <w:lvl w:ilvl="5" w:tplc="7F8A6AF8">
      <w:start w:val="1"/>
      <w:numFmt w:val="bullet"/>
      <w:lvlText w:val=""/>
      <w:lvlJc w:val="left"/>
      <w:pPr>
        <w:ind w:left="4320" w:hanging="360"/>
      </w:pPr>
      <w:rPr>
        <w:rFonts w:hint="default" w:ascii="Wingdings" w:hAnsi="Wingdings"/>
      </w:rPr>
    </w:lvl>
    <w:lvl w:ilvl="6" w:tplc="12C2F62E">
      <w:start w:val="1"/>
      <w:numFmt w:val="bullet"/>
      <w:lvlText w:val=""/>
      <w:lvlJc w:val="left"/>
      <w:pPr>
        <w:ind w:left="5040" w:hanging="360"/>
      </w:pPr>
      <w:rPr>
        <w:rFonts w:hint="default" w:ascii="Symbol" w:hAnsi="Symbol"/>
      </w:rPr>
    </w:lvl>
    <w:lvl w:ilvl="7" w:tplc="F7644604">
      <w:start w:val="1"/>
      <w:numFmt w:val="bullet"/>
      <w:lvlText w:val="o"/>
      <w:lvlJc w:val="left"/>
      <w:pPr>
        <w:ind w:left="5760" w:hanging="360"/>
      </w:pPr>
      <w:rPr>
        <w:rFonts w:hint="default" w:ascii="Courier New" w:hAnsi="Courier New"/>
      </w:rPr>
    </w:lvl>
    <w:lvl w:ilvl="8" w:tplc="5DB0C504">
      <w:start w:val="1"/>
      <w:numFmt w:val="bullet"/>
      <w:lvlText w:val=""/>
      <w:lvlJc w:val="left"/>
      <w:pPr>
        <w:ind w:left="6480" w:hanging="360"/>
      </w:pPr>
      <w:rPr>
        <w:rFonts w:hint="default" w:ascii="Wingdings" w:hAnsi="Wingdings"/>
      </w:rPr>
    </w:lvl>
  </w:abstractNum>
  <w:abstractNum w:abstractNumId="1" w15:restartNumberingAfterBreak="0">
    <w:nsid w:val="07AA2BFD"/>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931D54"/>
    <w:multiLevelType w:val="hybridMultilevel"/>
    <w:tmpl w:val="959284C2"/>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099F5958"/>
    <w:multiLevelType w:val="hybridMultilevel"/>
    <w:tmpl w:val="C16AA5F4"/>
    <w:lvl w:ilvl="0" w:tplc="F93038D2">
      <w:start w:val="1"/>
      <w:numFmt w:val="bullet"/>
      <w:lvlText w:val="-"/>
      <w:lvlJc w:val="left"/>
      <w:pPr>
        <w:ind w:left="720" w:hanging="360"/>
      </w:pPr>
      <w:rPr>
        <w:rFonts w:hint="default" w:ascii="Calibri" w:hAnsi="Calibri"/>
      </w:rPr>
    </w:lvl>
    <w:lvl w:ilvl="1" w:tplc="49723232">
      <w:start w:val="1"/>
      <w:numFmt w:val="bullet"/>
      <w:lvlText w:val="o"/>
      <w:lvlJc w:val="left"/>
      <w:pPr>
        <w:ind w:left="1440" w:hanging="360"/>
      </w:pPr>
      <w:rPr>
        <w:rFonts w:hint="default" w:ascii="Courier New" w:hAnsi="Courier New"/>
      </w:rPr>
    </w:lvl>
    <w:lvl w:ilvl="2" w:tplc="13CA8244">
      <w:start w:val="1"/>
      <w:numFmt w:val="bullet"/>
      <w:lvlText w:val=""/>
      <w:lvlJc w:val="left"/>
      <w:pPr>
        <w:ind w:left="2160" w:hanging="360"/>
      </w:pPr>
      <w:rPr>
        <w:rFonts w:hint="default" w:ascii="Wingdings" w:hAnsi="Wingdings"/>
      </w:rPr>
    </w:lvl>
    <w:lvl w:ilvl="3" w:tplc="08AC2222">
      <w:start w:val="1"/>
      <w:numFmt w:val="bullet"/>
      <w:lvlText w:val=""/>
      <w:lvlJc w:val="left"/>
      <w:pPr>
        <w:ind w:left="2880" w:hanging="360"/>
      </w:pPr>
      <w:rPr>
        <w:rFonts w:hint="default" w:ascii="Symbol" w:hAnsi="Symbol"/>
      </w:rPr>
    </w:lvl>
    <w:lvl w:ilvl="4" w:tplc="FE68A4A6">
      <w:start w:val="1"/>
      <w:numFmt w:val="bullet"/>
      <w:lvlText w:val="o"/>
      <w:lvlJc w:val="left"/>
      <w:pPr>
        <w:ind w:left="3600" w:hanging="360"/>
      </w:pPr>
      <w:rPr>
        <w:rFonts w:hint="default" w:ascii="Courier New" w:hAnsi="Courier New"/>
      </w:rPr>
    </w:lvl>
    <w:lvl w:ilvl="5" w:tplc="DD187B84">
      <w:start w:val="1"/>
      <w:numFmt w:val="bullet"/>
      <w:lvlText w:val=""/>
      <w:lvlJc w:val="left"/>
      <w:pPr>
        <w:ind w:left="4320" w:hanging="360"/>
      </w:pPr>
      <w:rPr>
        <w:rFonts w:hint="default" w:ascii="Wingdings" w:hAnsi="Wingdings"/>
      </w:rPr>
    </w:lvl>
    <w:lvl w:ilvl="6" w:tplc="DC0A0208">
      <w:start w:val="1"/>
      <w:numFmt w:val="bullet"/>
      <w:lvlText w:val=""/>
      <w:lvlJc w:val="left"/>
      <w:pPr>
        <w:ind w:left="5040" w:hanging="360"/>
      </w:pPr>
      <w:rPr>
        <w:rFonts w:hint="default" w:ascii="Symbol" w:hAnsi="Symbol"/>
      </w:rPr>
    </w:lvl>
    <w:lvl w:ilvl="7" w:tplc="3AD8F9B8">
      <w:start w:val="1"/>
      <w:numFmt w:val="bullet"/>
      <w:lvlText w:val="o"/>
      <w:lvlJc w:val="left"/>
      <w:pPr>
        <w:ind w:left="5760" w:hanging="360"/>
      </w:pPr>
      <w:rPr>
        <w:rFonts w:hint="default" w:ascii="Courier New" w:hAnsi="Courier New"/>
      </w:rPr>
    </w:lvl>
    <w:lvl w:ilvl="8" w:tplc="9C5AA324">
      <w:start w:val="1"/>
      <w:numFmt w:val="bullet"/>
      <w:lvlText w:val=""/>
      <w:lvlJc w:val="left"/>
      <w:pPr>
        <w:ind w:left="6480" w:hanging="360"/>
      </w:pPr>
      <w:rPr>
        <w:rFonts w:hint="default" w:ascii="Wingdings" w:hAnsi="Wingdings"/>
      </w:rPr>
    </w:lvl>
  </w:abstractNum>
  <w:abstractNum w:abstractNumId="4" w15:restartNumberingAfterBreak="0">
    <w:nsid w:val="10CF7EE0"/>
    <w:multiLevelType w:val="hybridMultilevel"/>
    <w:tmpl w:val="64EAEFE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 w15:restartNumberingAfterBreak="0">
    <w:nsid w:val="11174035"/>
    <w:multiLevelType w:val="hybridMultilevel"/>
    <w:tmpl w:val="FA8A074E"/>
    <w:lvl w:ilvl="0" w:tplc="7062C3F8">
      <w:numFmt w:val="bullet"/>
      <w:lvlText w:val="•"/>
      <w:lvlJc w:val="left"/>
      <w:pPr>
        <w:ind w:left="1080" w:hanging="720"/>
      </w:pPr>
      <w:rPr>
        <w:rFonts w:hint="default" w:ascii="Times New Roman" w:hAnsi="Times New Roman"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 w15:restartNumberingAfterBreak="0">
    <w:nsid w:val="17B11466"/>
    <w:multiLevelType w:val="hybridMultilevel"/>
    <w:tmpl w:val="D2B612D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1BBC25BE"/>
    <w:multiLevelType w:val="hybridMultilevel"/>
    <w:tmpl w:val="52FC0CA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8" w15:restartNumberingAfterBreak="0">
    <w:nsid w:val="33B261AB"/>
    <w:multiLevelType w:val="hybridMultilevel"/>
    <w:tmpl w:val="719274C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9" w15:restartNumberingAfterBreak="0">
    <w:nsid w:val="398B5ACD"/>
    <w:multiLevelType w:val="hybridMultilevel"/>
    <w:tmpl w:val="A9AE1370"/>
    <w:lvl w:ilvl="0" w:tplc="7062C3F8">
      <w:numFmt w:val="bullet"/>
      <w:lvlText w:val="•"/>
      <w:lvlJc w:val="left"/>
      <w:pPr>
        <w:ind w:left="1080" w:hanging="720"/>
      </w:pPr>
      <w:rPr>
        <w:rFonts w:hint="default" w:ascii="Times New Roman" w:hAnsi="Times New Roman"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3A470373"/>
    <w:multiLevelType w:val="hybridMultilevel"/>
    <w:tmpl w:val="E6A83BA0"/>
    <w:lvl w:ilvl="0" w:tplc="D7A8F926">
      <w:start w:val="1"/>
      <w:numFmt w:val="bullet"/>
      <w:lvlText w:val=""/>
      <w:lvlJc w:val="left"/>
      <w:pPr>
        <w:ind w:left="720" w:hanging="360"/>
      </w:pPr>
      <w:rPr>
        <w:rFonts w:hint="default" w:ascii="Symbol" w:hAnsi="Symbol"/>
      </w:rPr>
    </w:lvl>
    <w:lvl w:ilvl="1" w:tplc="CE8A3992">
      <w:start w:val="1"/>
      <w:numFmt w:val="bullet"/>
      <w:lvlText w:val="o"/>
      <w:lvlJc w:val="left"/>
      <w:pPr>
        <w:ind w:left="1440" w:hanging="360"/>
      </w:pPr>
      <w:rPr>
        <w:rFonts w:hint="default" w:ascii="Courier New" w:hAnsi="Courier New"/>
      </w:rPr>
    </w:lvl>
    <w:lvl w:ilvl="2" w:tplc="241CD370">
      <w:start w:val="1"/>
      <w:numFmt w:val="bullet"/>
      <w:lvlText w:val=""/>
      <w:lvlJc w:val="left"/>
      <w:pPr>
        <w:ind w:left="2160" w:hanging="360"/>
      </w:pPr>
      <w:rPr>
        <w:rFonts w:hint="default" w:ascii="Wingdings" w:hAnsi="Wingdings"/>
      </w:rPr>
    </w:lvl>
    <w:lvl w:ilvl="3" w:tplc="F7DAEFAE">
      <w:start w:val="1"/>
      <w:numFmt w:val="bullet"/>
      <w:lvlText w:val=""/>
      <w:lvlJc w:val="left"/>
      <w:pPr>
        <w:ind w:left="2880" w:hanging="360"/>
      </w:pPr>
      <w:rPr>
        <w:rFonts w:hint="default" w:ascii="Symbol" w:hAnsi="Symbol"/>
      </w:rPr>
    </w:lvl>
    <w:lvl w:ilvl="4" w:tplc="A31E3B38">
      <w:start w:val="1"/>
      <w:numFmt w:val="bullet"/>
      <w:lvlText w:val="o"/>
      <w:lvlJc w:val="left"/>
      <w:pPr>
        <w:ind w:left="3600" w:hanging="360"/>
      </w:pPr>
      <w:rPr>
        <w:rFonts w:hint="default" w:ascii="Courier New" w:hAnsi="Courier New"/>
      </w:rPr>
    </w:lvl>
    <w:lvl w:ilvl="5" w:tplc="1F125498">
      <w:start w:val="1"/>
      <w:numFmt w:val="bullet"/>
      <w:lvlText w:val=""/>
      <w:lvlJc w:val="left"/>
      <w:pPr>
        <w:ind w:left="4320" w:hanging="360"/>
      </w:pPr>
      <w:rPr>
        <w:rFonts w:hint="default" w:ascii="Wingdings" w:hAnsi="Wingdings"/>
      </w:rPr>
    </w:lvl>
    <w:lvl w:ilvl="6" w:tplc="BBBCBB5C">
      <w:start w:val="1"/>
      <w:numFmt w:val="bullet"/>
      <w:lvlText w:val=""/>
      <w:lvlJc w:val="left"/>
      <w:pPr>
        <w:ind w:left="5040" w:hanging="360"/>
      </w:pPr>
      <w:rPr>
        <w:rFonts w:hint="default" w:ascii="Symbol" w:hAnsi="Symbol"/>
      </w:rPr>
    </w:lvl>
    <w:lvl w:ilvl="7" w:tplc="551A534C">
      <w:start w:val="1"/>
      <w:numFmt w:val="bullet"/>
      <w:lvlText w:val="o"/>
      <w:lvlJc w:val="left"/>
      <w:pPr>
        <w:ind w:left="5760" w:hanging="360"/>
      </w:pPr>
      <w:rPr>
        <w:rFonts w:hint="default" w:ascii="Courier New" w:hAnsi="Courier New"/>
      </w:rPr>
    </w:lvl>
    <w:lvl w:ilvl="8" w:tplc="E4984C56">
      <w:start w:val="1"/>
      <w:numFmt w:val="bullet"/>
      <w:lvlText w:val=""/>
      <w:lvlJc w:val="left"/>
      <w:pPr>
        <w:ind w:left="6480" w:hanging="360"/>
      </w:pPr>
      <w:rPr>
        <w:rFonts w:hint="default" w:ascii="Wingdings" w:hAnsi="Wingdings"/>
      </w:rPr>
    </w:lvl>
  </w:abstractNum>
  <w:abstractNum w:abstractNumId="11" w15:restartNumberingAfterBreak="0">
    <w:nsid w:val="54B4457A"/>
    <w:multiLevelType w:val="hybridMultilevel"/>
    <w:tmpl w:val="38D2616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2" w15:restartNumberingAfterBreak="0">
    <w:nsid w:val="57E52FCA"/>
    <w:multiLevelType w:val="hybridMultilevel"/>
    <w:tmpl w:val="166EC9E0"/>
    <w:lvl w:ilvl="0" w:tplc="7062C3F8">
      <w:numFmt w:val="bullet"/>
      <w:lvlText w:val="•"/>
      <w:lvlJc w:val="left"/>
      <w:pPr>
        <w:ind w:left="1440" w:hanging="720"/>
      </w:pPr>
      <w:rPr>
        <w:rFonts w:hint="default" w:ascii="Times New Roman" w:hAnsi="Times New Roman" w:eastAsia="Times New Roman" w:cs="Times New Roman"/>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13" w15:restartNumberingAfterBreak="0">
    <w:nsid w:val="5F687567"/>
    <w:multiLevelType w:val="hybridMultilevel"/>
    <w:tmpl w:val="9FC4A34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4" w15:restartNumberingAfterBreak="0">
    <w:nsid w:val="5F8E0623"/>
    <w:multiLevelType w:val="hybridMultilevel"/>
    <w:tmpl w:val="2E46B2A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5" w15:restartNumberingAfterBreak="0">
    <w:nsid w:val="625367B2"/>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4B821BF"/>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E555383"/>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409377724">
    <w:abstractNumId w:val="10"/>
  </w:num>
  <w:num w:numId="2" w16cid:durableId="371275439">
    <w:abstractNumId w:val="3"/>
  </w:num>
  <w:num w:numId="3" w16cid:durableId="1627736478">
    <w:abstractNumId w:val="0"/>
  </w:num>
  <w:num w:numId="4" w16cid:durableId="1307778211">
    <w:abstractNumId w:val="11"/>
  </w:num>
  <w:num w:numId="5" w16cid:durableId="1429235512">
    <w:abstractNumId w:val="8"/>
  </w:num>
  <w:num w:numId="6" w16cid:durableId="192814388">
    <w:abstractNumId w:val="14"/>
  </w:num>
  <w:num w:numId="7" w16cid:durableId="768741015">
    <w:abstractNumId w:val="2"/>
  </w:num>
  <w:num w:numId="8" w16cid:durableId="19671993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2117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5774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57518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6309931">
    <w:abstractNumId w:val="7"/>
  </w:num>
  <w:num w:numId="13" w16cid:durableId="1347438412">
    <w:abstractNumId w:val="1"/>
  </w:num>
  <w:num w:numId="14" w16cid:durableId="870189353">
    <w:abstractNumId w:val="4"/>
  </w:num>
  <w:num w:numId="15" w16cid:durableId="2001928573">
    <w:abstractNumId w:val="13"/>
  </w:num>
  <w:num w:numId="16" w16cid:durableId="936838041">
    <w:abstractNumId w:val="6"/>
  </w:num>
  <w:num w:numId="17" w16cid:durableId="1529680574">
    <w:abstractNumId w:val="9"/>
  </w:num>
  <w:num w:numId="18" w16cid:durableId="1974797345">
    <w:abstractNumId w:val="5"/>
  </w:num>
  <w:num w:numId="19" w16cid:durableId="1818495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7D"/>
    <w:rsid w:val="00001EF2"/>
    <w:rsid w:val="00006B35"/>
    <w:rsid w:val="00011123"/>
    <w:rsid w:val="00013C3C"/>
    <w:rsid w:val="00022DFB"/>
    <w:rsid w:val="00024C27"/>
    <w:rsid w:val="00027BFC"/>
    <w:rsid w:val="00031349"/>
    <w:rsid w:val="000323F9"/>
    <w:rsid w:val="00034D71"/>
    <w:rsid w:val="00034E77"/>
    <w:rsid w:val="00036013"/>
    <w:rsid w:val="00036703"/>
    <w:rsid w:val="0004140D"/>
    <w:rsid w:val="00042177"/>
    <w:rsid w:val="000427AB"/>
    <w:rsid w:val="000430C3"/>
    <w:rsid w:val="00047123"/>
    <w:rsid w:val="0005236C"/>
    <w:rsid w:val="000605A8"/>
    <w:rsid w:val="000610B5"/>
    <w:rsid w:val="00064421"/>
    <w:rsid w:val="00064B63"/>
    <w:rsid w:val="00066A5D"/>
    <w:rsid w:val="00073176"/>
    <w:rsid w:val="00073D69"/>
    <w:rsid w:val="00076B7D"/>
    <w:rsid w:val="00082A11"/>
    <w:rsid w:val="00083332"/>
    <w:rsid w:val="00084292"/>
    <w:rsid w:val="000852B4"/>
    <w:rsid w:val="00086756"/>
    <w:rsid w:val="000911A0"/>
    <w:rsid w:val="000945C6"/>
    <w:rsid w:val="000963FA"/>
    <w:rsid w:val="000978B8"/>
    <w:rsid w:val="000A201F"/>
    <w:rsid w:val="000A4CDC"/>
    <w:rsid w:val="000A542D"/>
    <w:rsid w:val="000A645F"/>
    <w:rsid w:val="000B16DF"/>
    <w:rsid w:val="000B2630"/>
    <w:rsid w:val="000B2B6E"/>
    <w:rsid w:val="000B63A2"/>
    <w:rsid w:val="000B7E88"/>
    <w:rsid w:val="000C042E"/>
    <w:rsid w:val="000C0ED9"/>
    <w:rsid w:val="000C2615"/>
    <w:rsid w:val="000C2C26"/>
    <w:rsid w:val="000D0E06"/>
    <w:rsid w:val="000D2F28"/>
    <w:rsid w:val="000D55A6"/>
    <w:rsid w:val="000D5A36"/>
    <w:rsid w:val="000D5EA2"/>
    <w:rsid w:val="000E0754"/>
    <w:rsid w:val="000E0AD7"/>
    <w:rsid w:val="000E1B25"/>
    <w:rsid w:val="000E2033"/>
    <w:rsid w:val="000E3EC9"/>
    <w:rsid w:val="000E513F"/>
    <w:rsid w:val="000E526C"/>
    <w:rsid w:val="000E7A71"/>
    <w:rsid w:val="000F00C6"/>
    <w:rsid w:val="0010048E"/>
    <w:rsid w:val="001037B7"/>
    <w:rsid w:val="00103D51"/>
    <w:rsid w:val="00104BD1"/>
    <w:rsid w:val="00106473"/>
    <w:rsid w:val="0011164C"/>
    <w:rsid w:val="00115F2F"/>
    <w:rsid w:val="001239D5"/>
    <w:rsid w:val="001262EF"/>
    <w:rsid w:val="00133DC3"/>
    <w:rsid w:val="00140E0A"/>
    <w:rsid w:val="001417A0"/>
    <w:rsid w:val="0014277B"/>
    <w:rsid w:val="00144797"/>
    <w:rsid w:val="00146D69"/>
    <w:rsid w:val="00146E80"/>
    <w:rsid w:val="00147ECB"/>
    <w:rsid w:val="00152263"/>
    <w:rsid w:val="00152866"/>
    <w:rsid w:val="00155B0A"/>
    <w:rsid w:val="001607B0"/>
    <w:rsid w:val="00161A49"/>
    <w:rsid w:val="00165AEE"/>
    <w:rsid w:val="00171104"/>
    <w:rsid w:val="00175E2E"/>
    <w:rsid w:val="00177CB0"/>
    <w:rsid w:val="0018097E"/>
    <w:rsid w:val="0018336D"/>
    <w:rsid w:val="00185C3B"/>
    <w:rsid w:val="001918FD"/>
    <w:rsid w:val="0019321F"/>
    <w:rsid w:val="0019428F"/>
    <w:rsid w:val="00195D90"/>
    <w:rsid w:val="00195F3D"/>
    <w:rsid w:val="001A0575"/>
    <w:rsid w:val="001A511A"/>
    <w:rsid w:val="001B526D"/>
    <w:rsid w:val="001C2386"/>
    <w:rsid w:val="001C3456"/>
    <w:rsid w:val="001C4003"/>
    <w:rsid w:val="001C5E35"/>
    <w:rsid w:val="001C65FC"/>
    <w:rsid w:val="001D3D4D"/>
    <w:rsid w:val="001E20EF"/>
    <w:rsid w:val="001E24E3"/>
    <w:rsid w:val="001E260E"/>
    <w:rsid w:val="001E4D37"/>
    <w:rsid w:val="001E4EE5"/>
    <w:rsid w:val="001E57DD"/>
    <w:rsid w:val="001F3007"/>
    <w:rsid w:val="001F45AB"/>
    <w:rsid w:val="001F758F"/>
    <w:rsid w:val="001F7792"/>
    <w:rsid w:val="001F77D0"/>
    <w:rsid w:val="00201D5E"/>
    <w:rsid w:val="002054D4"/>
    <w:rsid w:val="00206799"/>
    <w:rsid w:val="002068B0"/>
    <w:rsid w:val="00207A72"/>
    <w:rsid w:val="0021614D"/>
    <w:rsid w:val="0022034E"/>
    <w:rsid w:val="002230E1"/>
    <w:rsid w:val="0022327F"/>
    <w:rsid w:val="00223919"/>
    <w:rsid w:val="00224284"/>
    <w:rsid w:val="00226F5A"/>
    <w:rsid w:val="0023028A"/>
    <w:rsid w:val="00230A52"/>
    <w:rsid w:val="00232670"/>
    <w:rsid w:val="00237EAC"/>
    <w:rsid w:val="00252372"/>
    <w:rsid w:val="002548CC"/>
    <w:rsid w:val="002555E9"/>
    <w:rsid w:val="00261D49"/>
    <w:rsid w:val="002621EA"/>
    <w:rsid w:val="00262BA0"/>
    <w:rsid w:val="0026361D"/>
    <w:rsid w:val="002657ED"/>
    <w:rsid w:val="00266221"/>
    <w:rsid w:val="00266A9E"/>
    <w:rsid w:val="00267372"/>
    <w:rsid w:val="002674DC"/>
    <w:rsid w:val="00267AD2"/>
    <w:rsid w:val="00273413"/>
    <w:rsid w:val="00276E24"/>
    <w:rsid w:val="00281456"/>
    <w:rsid w:val="00287942"/>
    <w:rsid w:val="00293D28"/>
    <w:rsid w:val="00294495"/>
    <w:rsid w:val="002A261E"/>
    <w:rsid w:val="002A6160"/>
    <w:rsid w:val="002B1303"/>
    <w:rsid w:val="002B390A"/>
    <w:rsid w:val="002B7FD8"/>
    <w:rsid w:val="002C227D"/>
    <w:rsid w:val="002C36AD"/>
    <w:rsid w:val="002C5CA1"/>
    <w:rsid w:val="002C64B4"/>
    <w:rsid w:val="002C7021"/>
    <w:rsid w:val="002C7033"/>
    <w:rsid w:val="002C7BCA"/>
    <w:rsid w:val="002C98C0"/>
    <w:rsid w:val="002D06D1"/>
    <w:rsid w:val="002E0C8E"/>
    <w:rsid w:val="002E1BB9"/>
    <w:rsid w:val="002E3A2F"/>
    <w:rsid w:val="002E3D27"/>
    <w:rsid w:val="002E54FA"/>
    <w:rsid w:val="002E7C8A"/>
    <w:rsid w:val="002F2B5C"/>
    <w:rsid w:val="002F3F59"/>
    <w:rsid w:val="002F450A"/>
    <w:rsid w:val="003007B4"/>
    <w:rsid w:val="003033AF"/>
    <w:rsid w:val="00303571"/>
    <w:rsid w:val="00305612"/>
    <w:rsid w:val="00311123"/>
    <w:rsid w:val="00313FE7"/>
    <w:rsid w:val="00315A3E"/>
    <w:rsid w:val="003166CF"/>
    <w:rsid w:val="0031755B"/>
    <w:rsid w:val="00321CEA"/>
    <w:rsid w:val="00323E55"/>
    <w:rsid w:val="0032734C"/>
    <w:rsid w:val="0033036E"/>
    <w:rsid w:val="00330A0E"/>
    <w:rsid w:val="003326D7"/>
    <w:rsid w:val="00332928"/>
    <w:rsid w:val="00336BC6"/>
    <w:rsid w:val="003436C8"/>
    <w:rsid w:val="00347358"/>
    <w:rsid w:val="003509E7"/>
    <w:rsid w:val="00351A24"/>
    <w:rsid w:val="00351A3D"/>
    <w:rsid w:val="003629D4"/>
    <w:rsid w:val="00364A3D"/>
    <w:rsid w:val="00364ACC"/>
    <w:rsid w:val="0037184B"/>
    <w:rsid w:val="00371FE1"/>
    <w:rsid w:val="003759D2"/>
    <w:rsid w:val="003762E9"/>
    <w:rsid w:val="00377C01"/>
    <w:rsid w:val="0037BECA"/>
    <w:rsid w:val="003805B8"/>
    <w:rsid w:val="00381083"/>
    <w:rsid w:val="00381F9C"/>
    <w:rsid w:val="00382972"/>
    <w:rsid w:val="00383844"/>
    <w:rsid w:val="00385EC2"/>
    <w:rsid w:val="003879FD"/>
    <w:rsid w:val="0039F7DB"/>
    <w:rsid w:val="003A01D5"/>
    <w:rsid w:val="003A0E82"/>
    <w:rsid w:val="003A1D26"/>
    <w:rsid w:val="003A362E"/>
    <w:rsid w:val="003A4ACE"/>
    <w:rsid w:val="003A5886"/>
    <w:rsid w:val="003A744E"/>
    <w:rsid w:val="003B0B9B"/>
    <w:rsid w:val="003B280F"/>
    <w:rsid w:val="003B2B61"/>
    <w:rsid w:val="003B3643"/>
    <w:rsid w:val="003B3C1C"/>
    <w:rsid w:val="003B44F1"/>
    <w:rsid w:val="003B4A19"/>
    <w:rsid w:val="003B4BE6"/>
    <w:rsid w:val="003B5E82"/>
    <w:rsid w:val="003B646C"/>
    <w:rsid w:val="003B708F"/>
    <w:rsid w:val="003C248E"/>
    <w:rsid w:val="003C6C45"/>
    <w:rsid w:val="003D21FA"/>
    <w:rsid w:val="003D3477"/>
    <w:rsid w:val="003D5DAD"/>
    <w:rsid w:val="003E1AC7"/>
    <w:rsid w:val="003E1EF6"/>
    <w:rsid w:val="003E2473"/>
    <w:rsid w:val="003E3C2F"/>
    <w:rsid w:val="003E4EA9"/>
    <w:rsid w:val="003E5565"/>
    <w:rsid w:val="003F3C34"/>
    <w:rsid w:val="004004C4"/>
    <w:rsid w:val="0040093E"/>
    <w:rsid w:val="004024ED"/>
    <w:rsid w:val="0040396C"/>
    <w:rsid w:val="00404771"/>
    <w:rsid w:val="00405157"/>
    <w:rsid w:val="004057D0"/>
    <w:rsid w:val="00407C9E"/>
    <w:rsid w:val="0041025D"/>
    <w:rsid w:val="004113B2"/>
    <w:rsid w:val="00417299"/>
    <w:rsid w:val="004208A1"/>
    <w:rsid w:val="00421E65"/>
    <w:rsid w:val="00423455"/>
    <w:rsid w:val="00424070"/>
    <w:rsid w:val="0042428B"/>
    <w:rsid w:val="00425DDB"/>
    <w:rsid w:val="00425E49"/>
    <w:rsid w:val="00430C4F"/>
    <w:rsid w:val="00430EB5"/>
    <w:rsid w:val="0043276E"/>
    <w:rsid w:val="004347E2"/>
    <w:rsid w:val="0043544C"/>
    <w:rsid w:val="00442EEC"/>
    <w:rsid w:val="0044353B"/>
    <w:rsid w:val="00444E11"/>
    <w:rsid w:val="00447D48"/>
    <w:rsid w:val="00452C9F"/>
    <w:rsid w:val="00460E50"/>
    <w:rsid w:val="00466234"/>
    <w:rsid w:val="0047175F"/>
    <w:rsid w:val="00474060"/>
    <w:rsid w:val="004751F9"/>
    <w:rsid w:val="004770D3"/>
    <w:rsid w:val="00480C87"/>
    <w:rsid w:val="00482C00"/>
    <w:rsid w:val="004833D9"/>
    <w:rsid w:val="00485562"/>
    <w:rsid w:val="00491A18"/>
    <w:rsid w:val="00491E6E"/>
    <w:rsid w:val="0049430D"/>
    <w:rsid w:val="004945D2"/>
    <w:rsid w:val="004967E4"/>
    <w:rsid w:val="00496864"/>
    <w:rsid w:val="004A445A"/>
    <w:rsid w:val="004A4C0D"/>
    <w:rsid w:val="004A6446"/>
    <w:rsid w:val="004B2080"/>
    <w:rsid w:val="004B52FA"/>
    <w:rsid w:val="004B5AEC"/>
    <w:rsid w:val="004B681A"/>
    <w:rsid w:val="004C3FAA"/>
    <w:rsid w:val="004C4C0A"/>
    <w:rsid w:val="004C4FA3"/>
    <w:rsid w:val="004C548A"/>
    <w:rsid w:val="004C5F4E"/>
    <w:rsid w:val="004D2BC5"/>
    <w:rsid w:val="004D3EEF"/>
    <w:rsid w:val="004D46E1"/>
    <w:rsid w:val="004D6E1F"/>
    <w:rsid w:val="004D761F"/>
    <w:rsid w:val="004E27E2"/>
    <w:rsid w:val="004E2EE7"/>
    <w:rsid w:val="004E46A5"/>
    <w:rsid w:val="00502ED9"/>
    <w:rsid w:val="00503209"/>
    <w:rsid w:val="005035B4"/>
    <w:rsid w:val="0050793C"/>
    <w:rsid w:val="00511AA9"/>
    <w:rsid w:val="00512BD9"/>
    <w:rsid w:val="00514E8C"/>
    <w:rsid w:val="005207FD"/>
    <w:rsid w:val="00521BCC"/>
    <w:rsid w:val="00521CAB"/>
    <w:rsid w:val="00526BE9"/>
    <w:rsid w:val="00537A0F"/>
    <w:rsid w:val="00543190"/>
    <w:rsid w:val="00543D63"/>
    <w:rsid w:val="00544DD2"/>
    <w:rsid w:val="00545FCD"/>
    <w:rsid w:val="0054669E"/>
    <w:rsid w:val="0054772F"/>
    <w:rsid w:val="0055046C"/>
    <w:rsid w:val="0055185E"/>
    <w:rsid w:val="00552462"/>
    <w:rsid w:val="00553A6F"/>
    <w:rsid w:val="00554FEE"/>
    <w:rsid w:val="00555E73"/>
    <w:rsid w:val="0055626C"/>
    <w:rsid w:val="005668D7"/>
    <w:rsid w:val="0057480D"/>
    <w:rsid w:val="0057604E"/>
    <w:rsid w:val="00576FD6"/>
    <w:rsid w:val="005810C8"/>
    <w:rsid w:val="005810DB"/>
    <w:rsid w:val="00582C80"/>
    <w:rsid w:val="00582CA9"/>
    <w:rsid w:val="00584E27"/>
    <w:rsid w:val="00585175"/>
    <w:rsid w:val="005B0E68"/>
    <w:rsid w:val="005B12FD"/>
    <w:rsid w:val="005B1B8F"/>
    <w:rsid w:val="005B24B6"/>
    <w:rsid w:val="005B39DC"/>
    <w:rsid w:val="005B3B0D"/>
    <w:rsid w:val="005B4C25"/>
    <w:rsid w:val="005C1520"/>
    <w:rsid w:val="005C1891"/>
    <w:rsid w:val="005C22BE"/>
    <w:rsid w:val="005C3018"/>
    <w:rsid w:val="005C51FE"/>
    <w:rsid w:val="005C6701"/>
    <w:rsid w:val="005D117E"/>
    <w:rsid w:val="005D7669"/>
    <w:rsid w:val="005E0CCD"/>
    <w:rsid w:val="005E190B"/>
    <w:rsid w:val="005E2E39"/>
    <w:rsid w:val="005E33FC"/>
    <w:rsid w:val="005E77E6"/>
    <w:rsid w:val="005F0A6A"/>
    <w:rsid w:val="005F0AAC"/>
    <w:rsid w:val="005F0D72"/>
    <w:rsid w:val="005F7F99"/>
    <w:rsid w:val="006014CD"/>
    <w:rsid w:val="00601627"/>
    <w:rsid w:val="00601D80"/>
    <w:rsid w:val="00601D8C"/>
    <w:rsid w:val="006069F2"/>
    <w:rsid w:val="006077F7"/>
    <w:rsid w:val="00611710"/>
    <w:rsid w:val="006126B4"/>
    <w:rsid w:val="00612C44"/>
    <w:rsid w:val="00616375"/>
    <w:rsid w:val="006171AF"/>
    <w:rsid w:val="006208D3"/>
    <w:rsid w:val="00620D13"/>
    <w:rsid w:val="00620EF8"/>
    <w:rsid w:val="00621978"/>
    <w:rsid w:val="00626571"/>
    <w:rsid w:val="0063201B"/>
    <w:rsid w:val="0063267C"/>
    <w:rsid w:val="006347DD"/>
    <w:rsid w:val="0063505D"/>
    <w:rsid w:val="00635095"/>
    <w:rsid w:val="006366C2"/>
    <w:rsid w:val="00641D3C"/>
    <w:rsid w:val="00643734"/>
    <w:rsid w:val="00644281"/>
    <w:rsid w:val="0064699D"/>
    <w:rsid w:val="00651367"/>
    <w:rsid w:val="00656B4F"/>
    <w:rsid w:val="00661ABD"/>
    <w:rsid w:val="00662858"/>
    <w:rsid w:val="006647A6"/>
    <w:rsid w:val="006665B5"/>
    <w:rsid w:val="00666716"/>
    <w:rsid w:val="006669A9"/>
    <w:rsid w:val="00670C77"/>
    <w:rsid w:val="006725EE"/>
    <w:rsid w:val="00672E63"/>
    <w:rsid w:val="006738F2"/>
    <w:rsid w:val="006812FD"/>
    <w:rsid w:val="006828C4"/>
    <w:rsid w:val="00682A2A"/>
    <w:rsid w:val="00683334"/>
    <w:rsid w:val="00684F03"/>
    <w:rsid w:val="00685808"/>
    <w:rsid w:val="00686097"/>
    <w:rsid w:val="00686620"/>
    <w:rsid w:val="00690DBA"/>
    <w:rsid w:val="00692AC5"/>
    <w:rsid w:val="00693D8B"/>
    <w:rsid w:val="00697E65"/>
    <w:rsid w:val="006A0C5B"/>
    <w:rsid w:val="006A0EEA"/>
    <w:rsid w:val="006A1A3A"/>
    <w:rsid w:val="006A1FA6"/>
    <w:rsid w:val="006A35F1"/>
    <w:rsid w:val="006A4D92"/>
    <w:rsid w:val="006B152B"/>
    <w:rsid w:val="006B18D6"/>
    <w:rsid w:val="006B3288"/>
    <w:rsid w:val="006B457A"/>
    <w:rsid w:val="006B612A"/>
    <w:rsid w:val="006B70CD"/>
    <w:rsid w:val="006C2970"/>
    <w:rsid w:val="006C3991"/>
    <w:rsid w:val="006C7D7C"/>
    <w:rsid w:val="006D0593"/>
    <w:rsid w:val="006D13B7"/>
    <w:rsid w:val="006D60F7"/>
    <w:rsid w:val="006D63A5"/>
    <w:rsid w:val="006E2456"/>
    <w:rsid w:val="006E44C4"/>
    <w:rsid w:val="006E4FAE"/>
    <w:rsid w:val="006E5066"/>
    <w:rsid w:val="006E6A12"/>
    <w:rsid w:val="006E75FE"/>
    <w:rsid w:val="006F1C7F"/>
    <w:rsid w:val="006F397C"/>
    <w:rsid w:val="007001C2"/>
    <w:rsid w:val="00700D68"/>
    <w:rsid w:val="00704CD1"/>
    <w:rsid w:val="00715225"/>
    <w:rsid w:val="00716A5B"/>
    <w:rsid w:val="007176C8"/>
    <w:rsid w:val="00721C63"/>
    <w:rsid w:val="00721EF9"/>
    <w:rsid w:val="00722C2A"/>
    <w:rsid w:val="00724A94"/>
    <w:rsid w:val="00725AC5"/>
    <w:rsid w:val="00730D61"/>
    <w:rsid w:val="00732D46"/>
    <w:rsid w:val="007338EB"/>
    <w:rsid w:val="00736A55"/>
    <w:rsid w:val="00736F66"/>
    <w:rsid w:val="00736FC2"/>
    <w:rsid w:val="00740BDE"/>
    <w:rsid w:val="00742D8F"/>
    <w:rsid w:val="00745682"/>
    <w:rsid w:val="00746CEA"/>
    <w:rsid w:val="00753072"/>
    <w:rsid w:val="007542AD"/>
    <w:rsid w:val="00764665"/>
    <w:rsid w:val="00765ED1"/>
    <w:rsid w:val="007678F4"/>
    <w:rsid w:val="00771910"/>
    <w:rsid w:val="00771DF2"/>
    <w:rsid w:val="007728A4"/>
    <w:rsid w:val="00773A4D"/>
    <w:rsid w:val="007763E8"/>
    <w:rsid w:val="00784715"/>
    <w:rsid w:val="00784D2C"/>
    <w:rsid w:val="00790F26"/>
    <w:rsid w:val="00792E27"/>
    <w:rsid w:val="00793423"/>
    <w:rsid w:val="00794597"/>
    <w:rsid w:val="00796B0F"/>
    <w:rsid w:val="00797AAD"/>
    <w:rsid w:val="007A0900"/>
    <w:rsid w:val="007A0EE0"/>
    <w:rsid w:val="007A29ED"/>
    <w:rsid w:val="007A3613"/>
    <w:rsid w:val="007A3C6C"/>
    <w:rsid w:val="007A6A30"/>
    <w:rsid w:val="007A6E57"/>
    <w:rsid w:val="007A7D89"/>
    <w:rsid w:val="007B01C8"/>
    <w:rsid w:val="007B12E7"/>
    <w:rsid w:val="007B35F1"/>
    <w:rsid w:val="007C1420"/>
    <w:rsid w:val="007C52F1"/>
    <w:rsid w:val="007C5481"/>
    <w:rsid w:val="007C55CE"/>
    <w:rsid w:val="007C59B2"/>
    <w:rsid w:val="007D00A8"/>
    <w:rsid w:val="007D68F8"/>
    <w:rsid w:val="007D6DE1"/>
    <w:rsid w:val="007D712D"/>
    <w:rsid w:val="007E236C"/>
    <w:rsid w:val="007E2990"/>
    <w:rsid w:val="007E352A"/>
    <w:rsid w:val="007E366F"/>
    <w:rsid w:val="007E3C90"/>
    <w:rsid w:val="007E5CDB"/>
    <w:rsid w:val="007E788F"/>
    <w:rsid w:val="007F53DE"/>
    <w:rsid w:val="0080411D"/>
    <w:rsid w:val="00805C6A"/>
    <w:rsid w:val="008148C5"/>
    <w:rsid w:val="00825C96"/>
    <w:rsid w:val="00825E78"/>
    <w:rsid w:val="0082774B"/>
    <w:rsid w:val="00827B5F"/>
    <w:rsid w:val="00832B51"/>
    <w:rsid w:val="00835C63"/>
    <w:rsid w:val="008373A2"/>
    <w:rsid w:val="00845A63"/>
    <w:rsid w:val="00847BA1"/>
    <w:rsid w:val="00850802"/>
    <w:rsid w:val="00854777"/>
    <w:rsid w:val="008554DD"/>
    <w:rsid w:val="008621C5"/>
    <w:rsid w:val="00864E50"/>
    <w:rsid w:val="0086674D"/>
    <w:rsid w:val="0087138D"/>
    <w:rsid w:val="0087550E"/>
    <w:rsid w:val="00881D34"/>
    <w:rsid w:val="008903B4"/>
    <w:rsid w:val="00891494"/>
    <w:rsid w:val="00892441"/>
    <w:rsid w:val="00897465"/>
    <w:rsid w:val="008A12DB"/>
    <w:rsid w:val="008A2164"/>
    <w:rsid w:val="008A3BF8"/>
    <w:rsid w:val="008A4057"/>
    <w:rsid w:val="008A483F"/>
    <w:rsid w:val="008A7018"/>
    <w:rsid w:val="008A7A12"/>
    <w:rsid w:val="008B1CA0"/>
    <w:rsid w:val="008B37EC"/>
    <w:rsid w:val="008B3E75"/>
    <w:rsid w:val="008B4859"/>
    <w:rsid w:val="008B4EB1"/>
    <w:rsid w:val="008B74A5"/>
    <w:rsid w:val="008B7BB4"/>
    <w:rsid w:val="008C4B95"/>
    <w:rsid w:val="008C6F9A"/>
    <w:rsid w:val="008D12E2"/>
    <w:rsid w:val="008D1B5B"/>
    <w:rsid w:val="008D4BBC"/>
    <w:rsid w:val="008E1FD0"/>
    <w:rsid w:val="008E7DAE"/>
    <w:rsid w:val="008F09CD"/>
    <w:rsid w:val="008F1D24"/>
    <w:rsid w:val="008F1D8F"/>
    <w:rsid w:val="008F4915"/>
    <w:rsid w:val="008F4E12"/>
    <w:rsid w:val="008F5860"/>
    <w:rsid w:val="008F765D"/>
    <w:rsid w:val="008F7AD4"/>
    <w:rsid w:val="008F7E63"/>
    <w:rsid w:val="00901711"/>
    <w:rsid w:val="00901939"/>
    <w:rsid w:val="00906EEB"/>
    <w:rsid w:val="00907E35"/>
    <w:rsid w:val="00920933"/>
    <w:rsid w:val="00925F6D"/>
    <w:rsid w:val="0093155E"/>
    <w:rsid w:val="00931E77"/>
    <w:rsid w:val="00934361"/>
    <w:rsid w:val="00936048"/>
    <w:rsid w:val="0094116D"/>
    <w:rsid w:val="0094537E"/>
    <w:rsid w:val="0095013A"/>
    <w:rsid w:val="0095280D"/>
    <w:rsid w:val="009550D3"/>
    <w:rsid w:val="0096328C"/>
    <w:rsid w:val="0096776C"/>
    <w:rsid w:val="0097392E"/>
    <w:rsid w:val="009755A6"/>
    <w:rsid w:val="00977223"/>
    <w:rsid w:val="009773E2"/>
    <w:rsid w:val="00977C5D"/>
    <w:rsid w:val="00990231"/>
    <w:rsid w:val="0099504A"/>
    <w:rsid w:val="009A362D"/>
    <w:rsid w:val="009A3A68"/>
    <w:rsid w:val="009A40C8"/>
    <w:rsid w:val="009A58E7"/>
    <w:rsid w:val="009B0BD1"/>
    <w:rsid w:val="009B2FC6"/>
    <w:rsid w:val="009B311E"/>
    <w:rsid w:val="009C04BB"/>
    <w:rsid w:val="009C2CE8"/>
    <w:rsid w:val="009C3803"/>
    <w:rsid w:val="009C6ACA"/>
    <w:rsid w:val="009D0890"/>
    <w:rsid w:val="009E50C0"/>
    <w:rsid w:val="009E570E"/>
    <w:rsid w:val="009F20F1"/>
    <w:rsid w:val="009F2AF2"/>
    <w:rsid w:val="009F3317"/>
    <w:rsid w:val="00A0001E"/>
    <w:rsid w:val="00A011A1"/>
    <w:rsid w:val="00A01402"/>
    <w:rsid w:val="00A01801"/>
    <w:rsid w:val="00A14455"/>
    <w:rsid w:val="00A14E70"/>
    <w:rsid w:val="00A15C2E"/>
    <w:rsid w:val="00A16192"/>
    <w:rsid w:val="00A16B92"/>
    <w:rsid w:val="00A2592E"/>
    <w:rsid w:val="00A26BF0"/>
    <w:rsid w:val="00A27F77"/>
    <w:rsid w:val="00A300AB"/>
    <w:rsid w:val="00A30364"/>
    <w:rsid w:val="00A33444"/>
    <w:rsid w:val="00A34755"/>
    <w:rsid w:val="00A355D5"/>
    <w:rsid w:val="00A440EF"/>
    <w:rsid w:val="00A45E38"/>
    <w:rsid w:val="00A46ECF"/>
    <w:rsid w:val="00A47539"/>
    <w:rsid w:val="00A5269C"/>
    <w:rsid w:val="00A52875"/>
    <w:rsid w:val="00A54714"/>
    <w:rsid w:val="00A54CFB"/>
    <w:rsid w:val="00A60DF9"/>
    <w:rsid w:val="00A61705"/>
    <w:rsid w:val="00A66433"/>
    <w:rsid w:val="00A67E84"/>
    <w:rsid w:val="00A67F88"/>
    <w:rsid w:val="00A71634"/>
    <w:rsid w:val="00A71B8E"/>
    <w:rsid w:val="00A75315"/>
    <w:rsid w:val="00A76BD0"/>
    <w:rsid w:val="00A77373"/>
    <w:rsid w:val="00A774DF"/>
    <w:rsid w:val="00A77D59"/>
    <w:rsid w:val="00A808CA"/>
    <w:rsid w:val="00A80CBF"/>
    <w:rsid w:val="00A90A3A"/>
    <w:rsid w:val="00A9707D"/>
    <w:rsid w:val="00A97575"/>
    <w:rsid w:val="00AA04E0"/>
    <w:rsid w:val="00AA054E"/>
    <w:rsid w:val="00AA247D"/>
    <w:rsid w:val="00AA5B55"/>
    <w:rsid w:val="00AB24C1"/>
    <w:rsid w:val="00AB5CFE"/>
    <w:rsid w:val="00AC3FA0"/>
    <w:rsid w:val="00AC581D"/>
    <w:rsid w:val="00AC718C"/>
    <w:rsid w:val="00AD0EC7"/>
    <w:rsid w:val="00AD249D"/>
    <w:rsid w:val="00AD6E51"/>
    <w:rsid w:val="00AE098D"/>
    <w:rsid w:val="00AE4851"/>
    <w:rsid w:val="00AE4D1A"/>
    <w:rsid w:val="00AE619E"/>
    <w:rsid w:val="00AE710D"/>
    <w:rsid w:val="00AF1A58"/>
    <w:rsid w:val="00AF1D3E"/>
    <w:rsid w:val="00AF3022"/>
    <w:rsid w:val="00AF3CA4"/>
    <w:rsid w:val="00AF5205"/>
    <w:rsid w:val="00AF6207"/>
    <w:rsid w:val="00AF62C1"/>
    <w:rsid w:val="00B009A1"/>
    <w:rsid w:val="00B01258"/>
    <w:rsid w:val="00B0129B"/>
    <w:rsid w:val="00B028B5"/>
    <w:rsid w:val="00B049FB"/>
    <w:rsid w:val="00B073A5"/>
    <w:rsid w:val="00B11155"/>
    <w:rsid w:val="00B11221"/>
    <w:rsid w:val="00B12C03"/>
    <w:rsid w:val="00B12F6F"/>
    <w:rsid w:val="00B13513"/>
    <w:rsid w:val="00B20AEE"/>
    <w:rsid w:val="00B22C77"/>
    <w:rsid w:val="00B248D7"/>
    <w:rsid w:val="00B24CE8"/>
    <w:rsid w:val="00B25140"/>
    <w:rsid w:val="00B27655"/>
    <w:rsid w:val="00B321F5"/>
    <w:rsid w:val="00B33F2E"/>
    <w:rsid w:val="00B3756C"/>
    <w:rsid w:val="00B3770F"/>
    <w:rsid w:val="00B4427A"/>
    <w:rsid w:val="00B443B8"/>
    <w:rsid w:val="00B45156"/>
    <w:rsid w:val="00B45298"/>
    <w:rsid w:val="00B45593"/>
    <w:rsid w:val="00B517AF"/>
    <w:rsid w:val="00B51E9E"/>
    <w:rsid w:val="00B532ED"/>
    <w:rsid w:val="00B6040A"/>
    <w:rsid w:val="00B60D67"/>
    <w:rsid w:val="00B627CE"/>
    <w:rsid w:val="00B64B39"/>
    <w:rsid w:val="00B651D7"/>
    <w:rsid w:val="00B654E0"/>
    <w:rsid w:val="00B66E94"/>
    <w:rsid w:val="00B70317"/>
    <w:rsid w:val="00B7355E"/>
    <w:rsid w:val="00B75403"/>
    <w:rsid w:val="00B86044"/>
    <w:rsid w:val="00B866C1"/>
    <w:rsid w:val="00B86FC2"/>
    <w:rsid w:val="00B877B5"/>
    <w:rsid w:val="00B90425"/>
    <w:rsid w:val="00B90463"/>
    <w:rsid w:val="00B91D54"/>
    <w:rsid w:val="00B94A16"/>
    <w:rsid w:val="00BA3ACA"/>
    <w:rsid w:val="00BA60BF"/>
    <w:rsid w:val="00BA6F30"/>
    <w:rsid w:val="00BB0E9C"/>
    <w:rsid w:val="00BB1598"/>
    <w:rsid w:val="00BB611F"/>
    <w:rsid w:val="00BB6277"/>
    <w:rsid w:val="00BB71B3"/>
    <w:rsid w:val="00BC28C5"/>
    <w:rsid w:val="00BC3BFF"/>
    <w:rsid w:val="00BC4B58"/>
    <w:rsid w:val="00BC4CF9"/>
    <w:rsid w:val="00BD1A14"/>
    <w:rsid w:val="00BD3961"/>
    <w:rsid w:val="00BD59A3"/>
    <w:rsid w:val="00BD5D45"/>
    <w:rsid w:val="00BE1682"/>
    <w:rsid w:val="00BE40D5"/>
    <w:rsid w:val="00BE4BD0"/>
    <w:rsid w:val="00BE7B6E"/>
    <w:rsid w:val="00BE7D87"/>
    <w:rsid w:val="00BF1578"/>
    <w:rsid w:val="00BF2F97"/>
    <w:rsid w:val="00BF76BE"/>
    <w:rsid w:val="00C00E72"/>
    <w:rsid w:val="00C027F3"/>
    <w:rsid w:val="00C03912"/>
    <w:rsid w:val="00C12185"/>
    <w:rsid w:val="00C179A5"/>
    <w:rsid w:val="00C21545"/>
    <w:rsid w:val="00C24CC9"/>
    <w:rsid w:val="00C32301"/>
    <w:rsid w:val="00C405D4"/>
    <w:rsid w:val="00C43BB0"/>
    <w:rsid w:val="00C44A81"/>
    <w:rsid w:val="00C44F85"/>
    <w:rsid w:val="00C465B8"/>
    <w:rsid w:val="00C50B0A"/>
    <w:rsid w:val="00C50C51"/>
    <w:rsid w:val="00C5201A"/>
    <w:rsid w:val="00C53591"/>
    <w:rsid w:val="00C56B2B"/>
    <w:rsid w:val="00C60414"/>
    <w:rsid w:val="00C62247"/>
    <w:rsid w:val="00C62C3B"/>
    <w:rsid w:val="00C63036"/>
    <w:rsid w:val="00C6374A"/>
    <w:rsid w:val="00C63E45"/>
    <w:rsid w:val="00C64662"/>
    <w:rsid w:val="00C64CA6"/>
    <w:rsid w:val="00C74C4A"/>
    <w:rsid w:val="00C81E04"/>
    <w:rsid w:val="00C82832"/>
    <w:rsid w:val="00C82C75"/>
    <w:rsid w:val="00C83135"/>
    <w:rsid w:val="00C84A05"/>
    <w:rsid w:val="00C873A9"/>
    <w:rsid w:val="00C92273"/>
    <w:rsid w:val="00C96D7A"/>
    <w:rsid w:val="00CA0C88"/>
    <w:rsid w:val="00CA185A"/>
    <w:rsid w:val="00CA2436"/>
    <w:rsid w:val="00CA53E9"/>
    <w:rsid w:val="00CA5C24"/>
    <w:rsid w:val="00CB2C62"/>
    <w:rsid w:val="00CB498B"/>
    <w:rsid w:val="00CB6396"/>
    <w:rsid w:val="00CB6D61"/>
    <w:rsid w:val="00CB7030"/>
    <w:rsid w:val="00CC4710"/>
    <w:rsid w:val="00CC5584"/>
    <w:rsid w:val="00CC60F7"/>
    <w:rsid w:val="00CC707E"/>
    <w:rsid w:val="00CD06E2"/>
    <w:rsid w:val="00CD0D5F"/>
    <w:rsid w:val="00CD1342"/>
    <w:rsid w:val="00CD4256"/>
    <w:rsid w:val="00CD464B"/>
    <w:rsid w:val="00CD4F97"/>
    <w:rsid w:val="00CE0CBE"/>
    <w:rsid w:val="00CF09BE"/>
    <w:rsid w:val="00CF1E14"/>
    <w:rsid w:val="00CF2542"/>
    <w:rsid w:val="00CF2BBE"/>
    <w:rsid w:val="00CF2C4F"/>
    <w:rsid w:val="00D02039"/>
    <w:rsid w:val="00D02098"/>
    <w:rsid w:val="00D049C5"/>
    <w:rsid w:val="00D0705C"/>
    <w:rsid w:val="00D1226E"/>
    <w:rsid w:val="00D136BE"/>
    <w:rsid w:val="00D15FA3"/>
    <w:rsid w:val="00D2097E"/>
    <w:rsid w:val="00D23865"/>
    <w:rsid w:val="00D26947"/>
    <w:rsid w:val="00D27982"/>
    <w:rsid w:val="00D3006F"/>
    <w:rsid w:val="00D3096F"/>
    <w:rsid w:val="00D30C5C"/>
    <w:rsid w:val="00D30FE5"/>
    <w:rsid w:val="00D323A7"/>
    <w:rsid w:val="00D37AD0"/>
    <w:rsid w:val="00D37C58"/>
    <w:rsid w:val="00D4242C"/>
    <w:rsid w:val="00D43EBE"/>
    <w:rsid w:val="00D44A2C"/>
    <w:rsid w:val="00D457DD"/>
    <w:rsid w:val="00D52BB9"/>
    <w:rsid w:val="00D56996"/>
    <w:rsid w:val="00D56A19"/>
    <w:rsid w:val="00D61F09"/>
    <w:rsid w:val="00D66CF5"/>
    <w:rsid w:val="00D71EF8"/>
    <w:rsid w:val="00D732C2"/>
    <w:rsid w:val="00D73E0B"/>
    <w:rsid w:val="00D76255"/>
    <w:rsid w:val="00D76BAA"/>
    <w:rsid w:val="00D80B1B"/>
    <w:rsid w:val="00D80B3A"/>
    <w:rsid w:val="00D849FA"/>
    <w:rsid w:val="00D86E0A"/>
    <w:rsid w:val="00D8736C"/>
    <w:rsid w:val="00D910D7"/>
    <w:rsid w:val="00D917E1"/>
    <w:rsid w:val="00D960BF"/>
    <w:rsid w:val="00DA0AD0"/>
    <w:rsid w:val="00DA198E"/>
    <w:rsid w:val="00DA3349"/>
    <w:rsid w:val="00DA53A9"/>
    <w:rsid w:val="00DA57AD"/>
    <w:rsid w:val="00DA6E21"/>
    <w:rsid w:val="00DA6F44"/>
    <w:rsid w:val="00DB1F29"/>
    <w:rsid w:val="00DB4754"/>
    <w:rsid w:val="00DB7F4A"/>
    <w:rsid w:val="00DC0226"/>
    <w:rsid w:val="00DC44AF"/>
    <w:rsid w:val="00DC648B"/>
    <w:rsid w:val="00DC6F83"/>
    <w:rsid w:val="00DD0575"/>
    <w:rsid w:val="00DD19B2"/>
    <w:rsid w:val="00DD1C29"/>
    <w:rsid w:val="00DD3D68"/>
    <w:rsid w:val="00DE0F4C"/>
    <w:rsid w:val="00DE2403"/>
    <w:rsid w:val="00DE2C73"/>
    <w:rsid w:val="00DEFEDE"/>
    <w:rsid w:val="00DF5AA4"/>
    <w:rsid w:val="00DF5F52"/>
    <w:rsid w:val="00E01C37"/>
    <w:rsid w:val="00E02087"/>
    <w:rsid w:val="00E0215E"/>
    <w:rsid w:val="00E03435"/>
    <w:rsid w:val="00E1080F"/>
    <w:rsid w:val="00E11D59"/>
    <w:rsid w:val="00E14C17"/>
    <w:rsid w:val="00E157BE"/>
    <w:rsid w:val="00E1641D"/>
    <w:rsid w:val="00E26339"/>
    <w:rsid w:val="00E30CD4"/>
    <w:rsid w:val="00E346C5"/>
    <w:rsid w:val="00E36B2D"/>
    <w:rsid w:val="00E37E9F"/>
    <w:rsid w:val="00E40AED"/>
    <w:rsid w:val="00E41B1C"/>
    <w:rsid w:val="00E41CC0"/>
    <w:rsid w:val="00E43DD6"/>
    <w:rsid w:val="00E44121"/>
    <w:rsid w:val="00E51A01"/>
    <w:rsid w:val="00E53A64"/>
    <w:rsid w:val="00E53CA1"/>
    <w:rsid w:val="00E608D0"/>
    <w:rsid w:val="00E60CFB"/>
    <w:rsid w:val="00E61828"/>
    <w:rsid w:val="00E6586A"/>
    <w:rsid w:val="00E65956"/>
    <w:rsid w:val="00E72C5B"/>
    <w:rsid w:val="00E74548"/>
    <w:rsid w:val="00E765F8"/>
    <w:rsid w:val="00E8031D"/>
    <w:rsid w:val="00E82732"/>
    <w:rsid w:val="00E82E70"/>
    <w:rsid w:val="00E84932"/>
    <w:rsid w:val="00E864D8"/>
    <w:rsid w:val="00E8A739"/>
    <w:rsid w:val="00E90DAE"/>
    <w:rsid w:val="00E91331"/>
    <w:rsid w:val="00E91CC3"/>
    <w:rsid w:val="00E92D19"/>
    <w:rsid w:val="00E97179"/>
    <w:rsid w:val="00E971BB"/>
    <w:rsid w:val="00EA4B01"/>
    <w:rsid w:val="00EA5F2E"/>
    <w:rsid w:val="00EA6174"/>
    <w:rsid w:val="00EA7152"/>
    <w:rsid w:val="00EA74A5"/>
    <w:rsid w:val="00EB3330"/>
    <w:rsid w:val="00EB3A75"/>
    <w:rsid w:val="00EB4BC0"/>
    <w:rsid w:val="00EB5941"/>
    <w:rsid w:val="00EC0B20"/>
    <w:rsid w:val="00EC0F7C"/>
    <w:rsid w:val="00EC1F47"/>
    <w:rsid w:val="00EC298E"/>
    <w:rsid w:val="00EC35FE"/>
    <w:rsid w:val="00EC3ACA"/>
    <w:rsid w:val="00EC43BA"/>
    <w:rsid w:val="00EC795B"/>
    <w:rsid w:val="00ED1394"/>
    <w:rsid w:val="00ED366C"/>
    <w:rsid w:val="00ED775A"/>
    <w:rsid w:val="00EF645A"/>
    <w:rsid w:val="00F0707D"/>
    <w:rsid w:val="00F072C4"/>
    <w:rsid w:val="00F07545"/>
    <w:rsid w:val="00F1014E"/>
    <w:rsid w:val="00F121C0"/>
    <w:rsid w:val="00F141DB"/>
    <w:rsid w:val="00F15927"/>
    <w:rsid w:val="00F20E5A"/>
    <w:rsid w:val="00F32043"/>
    <w:rsid w:val="00F32133"/>
    <w:rsid w:val="00F338D7"/>
    <w:rsid w:val="00F35889"/>
    <w:rsid w:val="00F40950"/>
    <w:rsid w:val="00F518C8"/>
    <w:rsid w:val="00F51DB7"/>
    <w:rsid w:val="00F52687"/>
    <w:rsid w:val="00F55668"/>
    <w:rsid w:val="00F60134"/>
    <w:rsid w:val="00F6334B"/>
    <w:rsid w:val="00F66695"/>
    <w:rsid w:val="00F71F95"/>
    <w:rsid w:val="00F7401C"/>
    <w:rsid w:val="00F748AB"/>
    <w:rsid w:val="00F76F66"/>
    <w:rsid w:val="00F775A9"/>
    <w:rsid w:val="00F8101E"/>
    <w:rsid w:val="00F81315"/>
    <w:rsid w:val="00F81642"/>
    <w:rsid w:val="00F8210E"/>
    <w:rsid w:val="00F8462B"/>
    <w:rsid w:val="00F91272"/>
    <w:rsid w:val="00F943B9"/>
    <w:rsid w:val="00F96EC8"/>
    <w:rsid w:val="00FA164A"/>
    <w:rsid w:val="00FA1F28"/>
    <w:rsid w:val="00FA30D6"/>
    <w:rsid w:val="00FB06BA"/>
    <w:rsid w:val="00FB0DF3"/>
    <w:rsid w:val="00FB1853"/>
    <w:rsid w:val="00FB548F"/>
    <w:rsid w:val="00FB5803"/>
    <w:rsid w:val="00FB6F7E"/>
    <w:rsid w:val="00FB776F"/>
    <w:rsid w:val="00FB7DBE"/>
    <w:rsid w:val="00FC5953"/>
    <w:rsid w:val="00FC6163"/>
    <w:rsid w:val="00FC6BF4"/>
    <w:rsid w:val="00FC6E1E"/>
    <w:rsid w:val="00FD197D"/>
    <w:rsid w:val="00FD23AB"/>
    <w:rsid w:val="00FD7B16"/>
    <w:rsid w:val="00FE0066"/>
    <w:rsid w:val="00FE38EA"/>
    <w:rsid w:val="00FE3BA8"/>
    <w:rsid w:val="00FE5772"/>
    <w:rsid w:val="00FE5ACB"/>
    <w:rsid w:val="00FF1740"/>
    <w:rsid w:val="00FF338A"/>
    <w:rsid w:val="00FF6129"/>
    <w:rsid w:val="00FF66C6"/>
    <w:rsid w:val="010C20EC"/>
    <w:rsid w:val="0110E26F"/>
    <w:rsid w:val="01134E42"/>
    <w:rsid w:val="01284EFC"/>
    <w:rsid w:val="012C0D93"/>
    <w:rsid w:val="016D53ED"/>
    <w:rsid w:val="016F9C12"/>
    <w:rsid w:val="01812A2B"/>
    <w:rsid w:val="01A9DD04"/>
    <w:rsid w:val="01FF26CF"/>
    <w:rsid w:val="0201987E"/>
    <w:rsid w:val="02072985"/>
    <w:rsid w:val="020F879C"/>
    <w:rsid w:val="02252B0C"/>
    <w:rsid w:val="022FE92F"/>
    <w:rsid w:val="0233E86C"/>
    <w:rsid w:val="02789998"/>
    <w:rsid w:val="029A0E80"/>
    <w:rsid w:val="02A21E8D"/>
    <w:rsid w:val="02C1C5E2"/>
    <w:rsid w:val="02E025EC"/>
    <w:rsid w:val="02F53594"/>
    <w:rsid w:val="03264ECE"/>
    <w:rsid w:val="032F0FF1"/>
    <w:rsid w:val="034B1125"/>
    <w:rsid w:val="0364FEF6"/>
    <w:rsid w:val="0372A360"/>
    <w:rsid w:val="03D0C1B1"/>
    <w:rsid w:val="03E4EA6A"/>
    <w:rsid w:val="03E9A203"/>
    <w:rsid w:val="040EAB8E"/>
    <w:rsid w:val="0422ECD0"/>
    <w:rsid w:val="04511A4E"/>
    <w:rsid w:val="046BB292"/>
    <w:rsid w:val="04987F3A"/>
    <w:rsid w:val="04A0D39A"/>
    <w:rsid w:val="04A4F4AF"/>
    <w:rsid w:val="04A76460"/>
    <w:rsid w:val="04B31EC4"/>
    <w:rsid w:val="04CE92B2"/>
    <w:rsid w:val="04F3F057"/>
    <w:rsid w:val="052BF141"/>
    <w:rsid w:val="052D0BC5"/>
    <w:rsid w:val="053EB517"/>
    <w:rsid w:val="0540F0F2"/>
    <w:rsid w:val="056C9212"/>
    <w:rsid w:val="056DAEF4"/>
    <w:rsid w:val="05772699"/>
    <w:rsid w:val="058A3270"/>
    <w:rsid w:val="05A1ED10"/>
    <w:rsid w:val="05B03A5A"/>
    <w:rsid w:val="05B1DFFF"/>
    <w:rsid w:val="05F1A468"/>
    <w:rsid w:val="05F82D8C"/>
    <w:rsid w:val="0622DE3F"/>
    <w:rsid w:val="065FC1AA"/>
    <w:rsid w:val="06AA4422"/>
    <w:rsid w:val="06AED279"/>
    <w:rsid w:val="06C7D9E8"/>
    <w:rsid w:val="06D80AF2"/>
    <w:rsid w:val="06D9C7CE"/>
    <w:rsid w:val="06DA8578"/>
    <w:rsid w:val="06DCD14A"/>
    <w:rsid w:val="06F1334F"/>
    <w:rsid w:val="070CDD2E"/>
    <w:rsid w:val="0751B39D"/>
    <w:rsid w:val="07714EB4"/>
    <w:rsid w:val="07744C6C"/>
    <w:rsid w:val="078A3DA8"/>
    <w:rsid w:val="07AC74DE"/>
    <w:rsid w:val="07CF0389"/>
    <w:rsid w:val="07CF81F3"/>
    <w:rsid w:val="07FAABD4"/>
    <w:rsid w:val="08007F5E"/>
    <w:rsid w:val="08639203"/>
    <w:rsid w:val="08672648"/>
    <w:rsid w:val="08A06D70"/>
    <w:rsid w:val="08F031BB"/>
    <w:rsid w:val="091F9CCF"/>
    <w:rsid w:val="0926F3E9"/>
    <w:rsid w:val="094E817C"/>
    <w:rsid w:val="096107E9"/>
    <w:rsid w:val="0A0FB747"/>
    <w:rsid w:val="0A2393F3"/>
    <w:rsid w:val="0A488427"/>
    <w:rsid w:val="0A90FCC3"/>
    <w:rsid w:val="0A98953B"/>
    <w:rsid w:val="0A9E6524"/>
    <w:rsid w:val="0AAF96B5"/>
    <w:rsid w:val="0AB71401"/>
    <w:rsid w:val="0ABC7F7A"/>
    <w:rsid w:val="0ACB115F"/>
    <w:rsid w:val="0AD26403"/>
    <w:rsid w:val="0AEC38C5"/>
    <w:rsid w:val="0B051558"/>
    <w:rsid w:val="0B9B32C5"/>
    <w:rsid w:val="0BC6794C"/>
    <w:rsid w:val="0BD0E0C7"/>
    <w:rsid w:val="0BD39E0F"/>
    <w:rsid w:val="0BFD0540"/>
    <w:rsid w:val="0C074A34"/>
    <w:rsid w:val="0C14D658"/>
    <w:rsid w:val="0C19CB75"/>
    <w:rsid w:val="0C45ED9B"/>
    <w:rsid w:val="0C57A522"/>
    <w:rsid w:val="0C7A0704"/>
    <w:rsid w:val="0C7FE601"/>
    <w:rsid w:val="0C86223E"/>
    <w:rsid w:val="0CC07C3A"/>
    <w:rsid w:val="0CCC7DCD"/>
    <w:rsid w:val="0D0C3F68"/>
    <w:rsid w:val="0D475809"/>
    <w:rsid w:val="0D5601C2"/>
    <w:rsid w:val="0D78C0D9"/>
    <w:rsid w:val="0D8024E9"/>
    <w:rsid w:val="0D865E85"/>
    <w:rsid w:val="0D96DAA6"/>
    <w:rsid w:val="0DAEAC62"/>
    <w:rsid w:val="0DC875D7"/>
    <w:rsid w:val="0DCA93C9"/>
    <w:rsid w:val="0DD1E77C"/>
    <w:rsid w:val="0DF46420"/>
    <w:rsid w:val="0E21F29F"/>
    <w:rsid w:val="0E34D07A"/>
    <w:rsid w:val="0E50137E"/>
    <w:rsid w:val="0E55AB9D"/>
    <w:rsid w:val="0E7139EF"/>
    <w:rsid w:val="0E9B22E7"/>
    <w:rsid w:val="0EAE183F"/>
    <w:rsid w:val="0EC45F54"/>
    <w:rsid w:val="0F057F8C"/>
    <w:rsid w:val="0F1373EB"/>
    <w:rsid w:val="0F172DFC"/>
    <w:rsid w:val="0F1F4288"/>
    <w:rsid w:val="0F283FD9"/>
    <w:rsid w:val="0F28A774"/>
    <w:rsid w:val="0F39023C"/>
    <w:rsid w:val="0F439D25"/>
    <w:rsid w:val="0F49D245"/>
    <w:rsid w:val="0FAD6607"/>
    <w:rsid w:val="0FCCBDA9"/>
    <w:rsid w:val="0FD6709C"/>
    <w:rsid w:val="1016847C"/>
    <w:rsid w:val="101DBEDA"/>
    <w:rsid w:val="1036F348"/>
    <w:rsid w:val="1038B00E"/>
    <w:rsid w:val="10575FA5"/>
    <w:rsid w:val="109E63F1"/>
    <w:rsid w:val="10A3930D"/>
    <w:rsid w:val="10B3866B"/>
    <w:rsid w:val="10CF2AB1"/>
    <w:rsid w:val="10DF6D86"/>
    <w:rsid w:val="10E1992B"/>
    <w:rsid w:val="10FD5EAA"/>
    <w:rsid w:val="10FECB03"/>
    <w:rsid w:val="11260E5B"/>
    <w:rsid w:val="11C0A80A"/>
    <w:rsid w:val="11D0C801"/>
    <w:rsid w:val="11FDB42D"/>
    <w:rsid w:val="1226A35E"/>
    <w:rsid w:val="12440437"/>
    <w:rsid w:val="124B14AD"/>
    <w:rsid w:val="124C31FC"/>
    <w:rsid w:val="12896778"/>
    <w:rsid w:val="129563F9"/>
    <w:rsid w:val="12C67F15"/>
    <w:rsid w:val="12DF0573"/>
    <w:rsid w:val="130E115E"/>
    <w:rsid w:val="132384A1"/>
    <w:rsid w:val="139FE023"/>
    <w:rsid w:val="13B366CC"/>
    <w:rsid w:val="13DC43F8"/>
    <w:rsid w:val="13EBAA22"/>
    <w:rsid w:val="141A9176"/>
    <w:rsid w:val="144A3963"/>
    <w:rsid w:val="14688758"/>
    <w:rsid w:val="14D20523"/>
    <w:rsid w:val="1538E99D"/>
    <w:rsid w:val="15505654"/>
    <w:rsid w:val="1554CEDC"/>
    <w:rsid w:val="156539AE"/>
    <w:rsid w:val="157E7761"/>
    <w:rsid w:val="158F1B63"/>
    <w:rsid w:val="15B913C9"/>
    <w:rsid w:val="15C51D2B"/>
    <w:rsid w:val="15E9F82A"/>
    <w:rsid w:val="15EC4E94"/>
    <w:rsid w:val="15FF3221"/>
    <w:rsid w:val="160590E2"/>
    <w:rsid w:val="161F7645"/>
    <w:rsid w:val="164DD074"/>
    <w:rsid w:val="16D12550"/>
    <w:rsid w:val="16E0A7F3"/>
    <w:rsid w:val="1719EFA5"/>
    <w:rsid w:val="1754E178"/>
    <w:rsid w:val="17653801"/>
    <w:rsid w:val="176C4FDA"/>
    <w:rsid w:val="176CA02E"/>
    <w:rsid w:val="17881EF5"/>
    <w:rsid w:val="17D8B2D0"/>
    <w:rsid w:val="17E5DBB0"/>
    <w:rsid w:val="17E61B76"/>
    <w:rsid w:val="1865F605"/>
    <w:rsid w:val="187E3329"/>
    <w:rsid w:val="18E6A21D"/>
    <w:rsid w:val="18F81184"/>
    <w:rsid w:val="19588318"/>
    <w:rsid w:val="195F28BA"/>
    <w:rsid w:val="19968CAB"/>
    <w:rsid w:val="1998D2B8"/>
    <w:rsid w:val="199D725D"/>
    <w:rsid w:val="19C045EF"/>
    <w:rsid w:val="19EF471B"/>
    <w:rsid w:val="1A0711FB"/>
    <w:rsid w:val="1A304CBA"/>
    <w:rsid w:val="1A314CF6"/>
    <w:rsid w:val="1A39972A"/>
    <w:rsid w:val="1A649193"/>
    <w:rsid w:val="1A6A5E68"/>
    <w:rsid w:val="1A8965A4"/>
    <w:rsid w:val="1A8BF529"/>
    <w:rsid w:val="1AFAF91B"/>
    <w:rsid w:val="1B0075A7"/>
    <w:rsid w:val="1B0CC704"/>
    <w:rsid w:val="1B5847B7"/>
    <w:rsid w:val="1B67323F"/>
    <w:rsid w:val="1B6985FC"/>
    <w:rsid w:val="1B69CFEA"/>
    <w:rsid w:val="1B883C50"/>
    <w:rsid w:val="1BA1E0F8"/>
    <w:rsid w:val="1BCDA62B"/>
    <w:rsid w:val="1BE85E72"/>
    <w:rsid w:val="1BE86083"/>
    <w:rsid w:val="1C417DAA"/>
    <w:rsid w:val="1C6B2FD1"/>
    <w:rsid w:val="1C76AFA7"/>
    <w:rsid w:val="1C7A55C4"/>
    <w:rsid w:val="1C8B4323"/>
    <w:rsid w:val="1C9C4608"/>
    <w:rsid w:val="1CB3B295"/>
    <w:rsid w:val="1CB562D2"/>
    <w:rsid w:val="1CFB72E7"/>
    <w:rsid w:val="1D035AB1"/>
    <w:rsid w:val="1D1004BB"/>
    <w:rsid w:val="1D3990A9"/>
    <w:rsid w:val="1D46C269"/>
    <w:rsid w:val="1D49521F"/>
    <w:rsid w:val="1D63BE9C"/>
    <w:rsid w:val="1DAB1320"/>
    <w:rsid w:val="1DC422FC"/>
    <w:rsid w:val="1DD6648A"/>
    <w:rsid w:val="1DDBE1B2"/>
    <w:rsid w:val="1DF9092F"/>
    <w:rsid w:val="1E1EBABF"/>
    <w:rsid w:val="1E39C7B2"/>
    <w:rsid w:val="1E4F82F6"/>
    <w:rsid w:val="1E513333"/>
    <w:rsid w:val="1E61FFD7"/>
    <w:rsid w:val="1EBE3393"/>
    <w:rsid w:val="1EC15AC1"/>
    <w:rsid w:val="1ED3B012"/>
    <w:rsid w:val="1EEBB9D8"/>
    <w:rsid w:val="1F32A28A"/>
    <w:rsid w:val="1F4030C1"/>
    <w:rsid w:val="1F468879"/>
    <w:rsid w:val="1F50EE2D"/>
    <w:rsid w:val="1F51066C"/>
    <w:rsid w:val="1F5AABB8"/>
    <w:rsid w:val="1F5CFC46"/>
    <w:rsid w:val="1F872A07"/>
    <w:rsid w:val="1FA509A7"/>
    <w:rsid w:val="1FB541E1"/>
    <w:rsid w:val="1FD3E6CA"/>
    <w:rsid w:val="2005728F"/>
    <w:rsid w:val="201162CB"/>
    <w:rsid w:val="201E295C"/>
    <w:rsid w:val="2022A1E4"/>
    <w:rsid w:val="20296055"/>
    <w:rsid w:val="203C16FD"/>
    <w:rsid w:val="205BA688"/>
    <w:rsid w:val="207ADBE0"/>
    <w:rsid w:val="2080AEFD"/>
    <w:rsid w:val="20EA680C"/>
    <w:rsid w:val="20F39C7C"/>
    <w:rsid w:val="213656ED"/>
    <w:rsid w:val="2197FE15"/>
    <w:rsid w:val="21A8840B"/>
    <w:rsid w:val="21B31E5D"/>
    <w:rsid w:val="21C49C1C"/>
    <w:rsid w:val="21FD63AF"/>
    <w:rsid w:val="2221379C"/>
    <w:rsid w:val="2228BEF6"/>
    <w:rsid w:val="2260F0E3"/>
    <w:rsid w:val="226426C6"/>
    <w:rsid w:val="226D681C"/>
    <w:rsid w:val="228784B5"/>
    <w:rsid w:val="229332B1"/>
    <w:rsid w:val="2295DBFC"/>
    <w:rsid w:val="22AF52D5"/>
    <w:rsid w:val="22B2D2B8"/>
    <w:rsid w:val="22B358AC"/>
    <w:rsid w:val="22F41078"/>
    <w:rsid w:val="232771D8"/>
    <w:rsid w:val="23380E16"/>
    <w:rsid w:val="23432DA5"/>
    <w:rsid w:val="234A83ED"/>
    <w:rsid w:val="24043D81"/>
    <w:rsid w:val="2409387D"/>
    <w:rsid w:val="240F7620"/>
    <w:rsid w:val="241A3C23"/>
    <w:rsid w:val="2420D62D"/>
    <w:rsid w:val="242E7FC3"/>
    <w:rsid w:val="247641B6"/>
    <w:rsid w:val="247ADFD5"/>
    <w:rsid w:val="247FCCA7"/>
    <w:rsid w:val="248895F2"/>
    <w:rsid w:val="24D63468"/>
    <w:rsid w:val="24DBFA9B"/>
    <w:rsid w:val="24DF7E3D"/>
    <w:rsid w:val="24F1E91A"/>
    <w:rsid w:val="24F6DA8A"/>
    <w:rsid w:val="251BDC14"/>
    <w:rsid w:val="2535B059"/>
    <w:rsid w:val="25438DD4"/>
    <w:rsid w:val="254C2D70"/>
    <w:rsid w:val="259344A4"/>
    <w:rsid w:val="25CC3DCA"/>
    <w:rsid w:val="25EF010D"/>
    <w:rsid w:val="260308CA"/>
    <w:rsid w:val="26103CDC"/>
    <w:rsid w:val="26121217"/>
    <w:rsid w:val="262C61AB"/>
    <w:rsid w:val="262C6EE4"/>
    <w:rsid w:val="26467CEB"/>
    <w:rsid w:val="26660778"/>
    <w:rsid w:val="26B16C1B"/>
    <w:rsid w:val="26D132FE"/>
    <w:rsid w:val="27005677"/>
    <w:rsid w:val="2751DCE5"/>
    <w:rsid w:val="2767372F"/>
    <w:rsid w:val="2768840E"/>
    <w:rsid w:val="2782C3F8"/>
    <w:rsid w:val="27AB6F68"/>
    <w:rsid w:val="27B75F89"/>
    <w:rsid w:val="27E167A2"/>
    <w:rsid w:val="27F53721"/>
    <w:rsid w:val="2801D7D9"/>
    <w:rsid w:val="2803ED00"/>
    <w:rsid w:val="280F8D99"/>
    <w:rsid w:val="284D9010"/>
    <w:rsid w:val="28537CD6"/>
    <w:rsid w:val="28583C01"/>
    <w:rsid w:val="285D5E8E"/>
    <w:rsid w:val="285E1AD5"/>
    <w:rsid w:val="285ECAE7"/>
    <w:rsid w:val="288C04C6"/>
    <w:rsid w:val="2893A6ED"/>
    <w:rsid w:val="2893AE68"/>
    <w:rsid w:val="28C05C73"/>
    <w:rsid w:val="28D984D0"/>
    <w:rsid w:val="28EDC0B7"/>
    <w:rsid w:val="290BB5F6"/>
    <w:rsid w:val="29473FC9"/>
    <w:rsid w:val="294A9DA2"/>
    <w:rsid w:val="295DB411"/>
    <w:rsid w:val="297AC910"/>
    <w:rsid w:val="297D3803"/>
    <w:rsid w:val="299FBD61"/>
    <w:rsid w:val="29AB1491"/>
    <w:rsid w:val="29D8628E"/>
    <w:rsid w:val="29E96071"/>
    <w:rsid w:val="2A1B76D2"/>
    <w:rsid w:val="2A2376CF"/>
    <w:rsid w:val="2A4C8FED"/>
    <w:rsid w:val="2A661C46"/>
    <w:rsid w:val="2A6C02C8"/>
    <w:rsid w:val="2A9755AE"/>
    <w:rsid w:val="2AAD9714"/>
    <w:rsid w:val="2AC65E13"/>
    <w:rsid w:val="2AC7C8EC"/>
    <w:rsid w:val="2AE376EC"/>
    <w:rsid w:val="2AFBA43B"/>
    <w:rsid w:val="2B52B469"/>
    <w:rsid w:val="2B94FF50"/>
    <w:rsid w:val="2B966BA9"/>
    <w:rsid w:val="2BA1FB2F"/>
    <w:rsid w:val="2BC63C71"/>
    <w:rsid w:val="2BD5EC2E"/>
    <w:rsid w:val="2BF2E550"/>
    <w:rsid w:val="2BF59699"/>
    <w:rsid w:val="2C7F9C30"/>
    <w:rsid w:val="2C8CD371"/>
    <w:rsid w:val="2C9AB49C"/>
    <w:rsid w:val="2CA0A436"/>
    <w:rsid w:val="2D2E4B8E"/>
    <w:rsid w:val="2D4CE4E4"/>
    <w:rsid w:val="2D78132A"/>
    <w:rsid w:val="2D7F7629"/>
    <w:rsid w:val="2DB134FB"/>
    <w:rsid w:val="2DDCACAE"/>
    <w:rsid w:val="2DE60BFA"/>
    <w:rsid w:val="2E5EFB44"/>
    <w:rsid w:val="2E661A64"/>
    <w:rsid w:val="2E91C8E4"/>
    <w:rsid w:val="2EBCD194"/>
    <w:rsid w:val="2ECE0C6B"/>
    <w:rsid w:val="2EE8B545"/>
    <w:rsid w:val="2EE9C78F"/>
    <w:rsid w:val="2F1F8919"/>
    <w:rsid w:val="2F264B8E"/>
    <w:rsid w:val="2F36F7D7"/>
    <w:rsid w:val="2F3BC269"/>
    <w:rsid w:val="2F460737"/>
    <w:rsid w:val="2FB30CF3"/>
    <w:rsid w:val="2FC2716E"/>
    <w:rsid w:val="2FE8DF6A"/>
    <w:rsid w:val="2FF16B3A"/>
    <w:rsid w:val="30017721"/>
    <w:rsid w:val="30131900"/>
    <w:rsid w:val="301FF0EE"/>
    <w:rsid w:val="309CD4C2"/>
    <w:rsid w:val="30AC0437"/>
    <w:rsid w:val="30AFFC47"/>
    <w:rsid w:val="30BE5AA8"/>
    <w:rsid w:val="30C64048"/>
    <w:rsid w:val="30CB6E58"/>
    <w:rsid w:val="30EFDF5A"/>
    <w:rsid w:val="31481962"/>
    <w:rsid w:val="31765167"/>
    <w:rsid w:val="3191A6E9"/>
    <w:rsid w:val="31A8BA1F"/>
    <w:rsid w:val="31B346DD"/>
    <w:rsid w:val="31B90C48"/>
    <w:rsid w:val="31CC646C"/>
    <w:rsid w:val="31E79D61"/>
    <w:rsid w:val="31EAC9FB"/>
    <w:rsid w:val="31F2BA1D"/>
    <w:rsid w:val="320440D4"/>
    <w:rsid w:val="3205AD2D"/>
    <w:rsid w:val="320C2856"/>
    <w:rsid w:val="320E3CC3"/>
    <w:rsid w:val="32397E64"/>
    <w:rsid w:val="32855886"/>
    <w:rsid w:val="32D4D9FB"/>
    <w:rsid w:val="33478975"/>
    <w:rsid w:val="338464B5"/>
    <w:rsid w:val="339042B7"/>
    <w:rsid w:val="339FC2B9"/>
    <w:rsid w:val="33A84150"/>
    <w:rsid w:val="33C72B91"/>
    <w:rsid w:val="33CAB635"/>
    <w:rsid w:val="33D0F596"/>
    <w:rsid w:val="33DDA103"/>
    <w:rsid w:val="33EA1B7F"/>
    <w:rsid w:val="33F90E17"/>
    <w:rsid w:val="33FA7A6E"/>
    <w:rsid w:val="34537E18"/>
    <w:rsid w:val="345A85B8"/>
    <w:rsid w:val="346E82F9"/>
    <w:rsid w:val="34772AB3"/>
    <w:rsid w:val="347B2AA9"/>
    <w:rsid w:val="347D63BA"/>
    <w:rsid w:val="3493D428"/>
    <w:rsid w:val="34B36739"/>
    <w:rsid w:val="34B5145A"/>
    <w:rsid w:val="34C96A6D"/>
    <w:rsid w:val="34DCD5CA"/>
    <w:rsid w:val="34E7F10A"/>
    <w:rsid w:val="34F3D5F7"/>
    <w:rsid w:val="35029E74"/>
    <w:rsid w:val="35203516"/>
    <w:rsid w:val="35357598"/>
    <w:rsid w:val="3536646E"/>
    <w:rsid w:val="354029B2"/>
    <w:rsid w:val="354B8667"/>
    <w:rsid w:val="356B367D"/>
    <w:rsid w:val="35797164"/>
    <w:rsid w:val="358BD020"/>
    <w:rsid w:val="35B9FB99"/>
    <w:rsid w:val="35C58977"/>
    <w:rsid w:val="35F95341"/>
    <w:rsid w:val="35FF87BF"/>
    <w:rsid w:val="3628CD42"/>
    <w:rsid w:val="363AE258"/>
    <w:rsid w:val="36612E0B"/>
    <w:rsid w:val="3695FD8D"/>
    <w:rsid w:val="36B7DD76"/>
    <w:rsid w:val="36BB0E84"/>
    <w:rsid w:val="36BE3B1E"/>
    <w:rsid w:val="36D91E50"/>
    <w:rsid w:val="36EA7DF6"/>
    <w:rsid w:val="37131BFA"/>
    <w:rsid w:val="3714B8F1"/>
    <w:rsid w:val="37206A30"/>
    <w:rsid w:val="3743FE28"/>
    <w:rsid w:val="3772BA06"/>
    <w:rsid w:val="378F8757"/>
    <w:rsid w:val="378FDD06"/>
    <w:rsid w:val="37AF16AE"/>
    <w:rsid w:val="37B5047C"/>
    <w:rsid w:val="37C19332"/>
    <w:rsid w:val="37D65363"/>
    <w:rsid w:val="37F5647A"/>
    <w:rsid w:val="382082BE"/>
    <w:rsid w:val="384AF64B"/>
    <w:rsid w:val="384D3BE5"/>
    <w:rsid w:val="385A0B7F"/>
    <w:rsid w:val="38872D8D"/>
    <w:rsid w:val="389EA0D8"/>
    <w:rsid w:val="389EAC6B"/>
    <w:rsid w:val="38CB285F"/>
    <w:rsid w:val="38E0D1E5"/>
    <w:rsid w:val="390952F7"/>
    <w:rsid w:val="3911FE91"/>
    <w:rsid w:val="393CFEBD"/>
    <w:rsid w:val="39443B36"/>
    <w:rsid w:val="394D832E"/>
    <w:rsid w:val="394DB829"/>
    <w:rsid w:val="39683FA0"/>
    <w:rsid w:val="397A3370"/>
    <w:rsid w:val="399134DB"/>
    <w:rsid w:val="3998CECD"/>
    <w:rsid w:val="39C9264E"/>
    <w:rsid w:val="39CD9E4F"/>
    <w:rsid w:val="39DC58FF"/>
    <w:rsid w:val="39E6C6AC"/>
    <w:rsid w:val="3A17403F"/>
    <w:rsid w:val="3A18AC98"/>
    <w:rsid w:val="3A2C7A36"/>
    <w:rsid w:val="3A34746F"/>
    <w:rsid w:val="3A449049"/>
    <w:rsid w:val="3A4CE287"/>
    <w:rsid w:val="3A560889"/>
    <w:rsid w:val="3A6B8770"/>
    <w:rsid w:val="3A741921"/>
    <w:rsid w:val="3A749B33"/>
    <w:rsid w:val="3AA52358"/>
    <w:rsid w:val="3AD8760A"/>
    <w:rsid w:val="3AF3472E"/>
    <w:rsid w:val="3B028D90"/>
    <w:rsid w:val="3B1D33AD"/>
    <w:rsid w:val="3B4C174E"/>
    <w:rsid w:val="3B64F6AF"/>
    <w:rsid w:val="3B696EB0"/>
    <w:rsid w:val="3B8D3EEF"/>
    <w:rsid w:val="3B9B549C"/>
    <w:rsid w:val="3BA19F8E"/>
    <w:rsid w:val="3BBAC7EB"/>
    <w:rsid w:val="3BC7384D"/>
    <w:rsid w:val="3BD48A2F"/>
    <w:rsid w:val="3BDC498F"/>
    <w:rsid w:val="3C2DF50C"/>
    <w:rsid w:val="3C341CBF"/>
    <w:rsid w:val="3C4ABF03"/>
    <w:rsid w:val="3C93144D"/>
    <w:rsid w:val="3CE1F267"/>
    <w:rsid w:val="3D094802"/>
    <w:rsid w:val="3D0CCC50"/>
    <w:rsid w:val="3D20AD08"/>
    <w:rsid w:val="3D2BD6EC"/>
    <w:rsid w:val="3D641AF8"/>
    <w:rsid w:val="3D7D4355"/>
    <w:rsid w:val="3DB65482"/>
    <w:rsid w:val="3DDACE4B"/>
    <w:rsid w:val="3E106FE0"/>
    <w:rsid w:val="3E56CBA1"/>
    <w:rsid w:val="3E5F0F9A"/>
    <w:rsid w:val="3E77A8F9"/>
    <w:rsid w:val="3E99E4D6"/>
    <w:rsid w:val="3EA51863"/>
    <w:rsid w:val="3F46E619"/>
    <w:rsid w:val="3F5F93B5"/>
    <w:rsid w:val="3F68E201"/>
    <w:rsid w:val="3F799F52"/>
    <w:rsid w:val="3FAD8FF4"/>
    <w:rsid w:val="3FB23B07"/>
    <w:rsid w:val="3FE55DA6"/>
    <w:rsid w:val="3FF29C02"/>
    <w:rsid w:val="4030324B"/>
    <w:rsid w:val="4044CD59"/>
    <w:rsid w:val="40651D64"/>
    <w:rsid w:val="407210A7"/>
    <w:rsid w:val="40FE492D"/>
    <w:rsid w:val="4106C111"/>
    <w:rsid w:val="414C10BD"/>
    <w:rsid w:val="4186D746"/>
    <w:rsid w:val="419A1BB1"/>
    <w:rsid w:val="41AA2F0E"/>
    <w:rsid w:val="41B2DA4F"/>
    <w:rsid w:val="41DCB925"/>
    <w:rsid w:val="41E03D73"/>
    <w:rsid w:val="41F41E2B"/>
    <w:rsid w:val="41F876CB"/>
    <w:rsid w:val="41FEB81E"/>
    <w:rsid w:val="4214E776"/>
    <w:rsid w:val="4250B478"/>
    <w:rsid w:val="4254EE62"/>
    <w:rsid w:val="42722983"/>
    <w:rsid w:val="427A30BD"/>
    <w:rsid w:val="429F1235"/>
    <w:rsid w:val="42B190D3"/>
    <w:rsid w:val="42B2B44D"/>
    <w:rsid w:val="42CCDF42"/>
    <w:rsid w:val="42F65BA5"/>
    <w:rsid w:val="42F7B723"/>
    <w:rsid w:val="4321D2C6"/>
    <w:rsid w:val="43472F6B"/>
    <w:rsid w:val="43788986"/>
    <w:rsid w:val="4392A7E9"/>
    <w:rsid w:val="43A709A5"/>
    <w:rsid w:val="4413B54C"/>
    <w:rsid w:val="4416011E"/>
    <w:rsid w:val="44165FF2"/>
    <w:rsid w:val="4459F05B"/>
    <w:rsid w:val="4486EDDD"/>
    <w:rsid w:val="448F4225"/>
    <w:rsid w:val="44C4D39D"/>
    <w:rsid w:val="44CD46E4"/>
    <w:rsid w:val="44EDAF86"/>
    <w:rsid w:val="4519D693"/>
    <w:rsid w:val="45640716"/>
    <w:rsid w:val="45851166"/>
    <w:rsid w:val="45C5A6A4"/>
    <w:rsid w:val="460413E9"/>
    <w:rsid w:val="4635F9D5"/>
    <w:rsid w:val="465DCCE5"/>
    <w:rsid w:val="465DDD17"/>
    <w:rsid w:val="465F6019"/>
    <w:rsid w:val="468362B6"/>
    <w:rsid w:val="468EC9F5"/>
    <w:rsid w:val="46A312BE"/>
    <w:rsid w:val="46CC26F2"/>
    <w:rsid w:val="46DE0743"/>
    <w:rsid w:val="46E1206F"/>
    <w:rsid w:val="46F22EF0"/>
    <w:rsid w:val="46F89AFE"/>
    <w:rsid w:val="4709E48D"/>
    <w:rsid w:val="470AFD3E"/>
    <w:rsid w:val="4724259B"/>
    <w:rsid w:val="476A7E03"/>
    <w:rsid w:val="479E2AE6"/>
    <w:rsid w:val="47A00E02"/>
    <w:rsid w:val="47D81528"/>
    <w:rsid w:val="47F302AF"/>
    <w:rsid w:val="485F0D2F"/>
    <w:rsid w:val="4873DBD0"/>
    <w:rsid w:val="487F0C2F"/>
    <w:rsid w:val="489193A8"/>
    <w:rsid w:val="48B810D9"/>
    <w:rsid w:val="49440AAD"/>
    <w:rsid w:val="4954723A"/>
    <w:rsid w:val="496A59D4"/>
    <w:rsid w:val="49703F6C"/>
    <w:rsid w:val="49A019BD"/>
    <w:rsid w:val="49A326A3"/>
    <w:rsid w:val="49BCA215"/>
    <w:rsid w:val="49C0756F"/>
    <w:rsid w:val="49F672C1"/>
    <w:rsid w:val="4A41933D"/>
    <w:rsid w:val="4A52F4C8"/>
    <w:rsid w:val="4A5F8DCC"/>
    <w:rsid w:val="4AC47935"/>
    <w:rsid w:val="4AC931DF"/>
    <w:rsid w:val="4AD06A29"/>
    <w:rsid w:val="4B1EEC35"/>
    <w:rsid w:val="4B6A730E"/>
    <w:rsid w:val="4BA0CED2"/>
    <w:rsid w:val="4BCA381F"/>
    <w:rsid w:val="4C07EAA6"/>
    <w:rsid w:val="4C2D63C4"/>
    <w:rsid w:val="4C3D1086"/>
    <w:rsid w:val="4C51EFAB"/>
    <w:rsid w:val="4C7F3E07"/>
    <w:rsid w:val="4C8EB7D1"/>
    <w:rsid w:val="4CF0F7C9"/>
    <w:rsid w:val="4D4BBD16"/>
    <w:rsid w:val="4D792C78"/>
    <w:rsid w:val="4DA002C9"/>
    <w:rsid w:val="4DA9C26E"/>
    <w:rsid w:val="4DB09B85"/>
    <w:rsid w:val="4DF2A252"/>
    <w:rsid w:val="4E2E2E4F"/>
    <w:rsid w:val="4E3FE1F6"/>
    <w:rsid w:val="4E532143"/>
    <w:rsid w:val="4E7173FB"/>
    <w:rsid w:val="4E74B8D5"/>
    <w:rsid w:val="4E8E89BD"/>
    <w:rsid w:val="4E9AAFC0"/>
    <w:rsid w:val="4EABDDA4"/>
    <w:rsid w:val="4EB5A91D"/>
    <w:rsid w:val="4EB9E384"/>
    <w:rsid w:val="4ECF4CFC"/>
    <w:rsid w:val="4ED62E14"/>
    <w:rsid w:val="4EE528AC"/>
    <w:rsid w:val="4EE9C064"/>
    <w:rsid w:val="4F150460"/>
    <w:rsid w:val="4F2BF3AC"/>
    <w:rsid w:val="4F43E186"/>
    <w:rsid w:val="4F53BF71"/>
    <w:rsid w:val="4F70E68F"/>
    <w:rsid w:val="4F8D55D1"/>
    <w:rsid w:val="4FBD6568"/>
    <w:rsid w:val="4FC9FEB0"/>
    <w:rsid w:val="4FD7CA58"/>
    <w:rsid w:val="4FEF976F"/>
    <w:rsid w:val="4FFE7704"/>
    <w:rsid w:val="5004669D"/>
    <w:rsid w:val="500E55AB"/>
    <w:rsid w:val="502B359C"/>
    <w:rsid w:val="502FB6F3"/>
    <w:rsid w:val="50398B61"/>
    <w:rsid w:val="50590238"/>
    <w:rsid w:val="50A375A6"/>
    <w:rsid w:val="50A8D628"/>
    <w:rsid w:val="50C6F6B3"/>
    <w:rsid w:val="50EFA492"/>
    <w:rsid w:val="50FAA38B"/>
    <w:rsid w:val="510B128C"/>
    <w:rsid w:val="5120F0AB"/>
    <w:rsid w:val="518D0CCA"/>
    <w:rsid w:val="51935245"/>
    <w:rsid w:val="51935556"/>
    <w:rsid w:val="51AB595B"/>
    <w:rsid w:val="51B1E20F"/>
    <w:rsid w:val="51C62A7F"/>
    <w:rsid w:val="51DB9ECE"/>
    <w:rsid w:val="51E03CF0"/>
    <w:rsid w:val="520F7F13"/>
    <w:rsid w:val="523875EE"/>
    <w:rsid w:val="5262F638"/>
    <w:rsid w:val="52A6E2ED"/>
    <w:rsid w:val="531AC7CF"/>
    <w:rsid w:val="5361FAE0"/>
    <w:rsid w:val="537423F5"/>
    <w:rsid w:val="53BEC7D8"/>
    <w:rsid w:val="53E87583"/>
    <w:rsid w:val="53F7B734"/>
    <w:rsid w:val="5407AF43"/>
    <w:rsid w:val="5415180D"/>
    <w:rsid w:val="54306F73"/>
    <w:rsid w:val="543B5D40"/>
    <w:rsid w:val="54867C04"/>
    <w:rsid w:val="54B4EA68"/>
    <w:rsid w:val="54DAECE0"/>
    <w:rsid w:val="54E90F79"/>
    <w:rsid w:val="550F4337"/>
    <w:rsid w:val="55546A30"/>
    <w:rsid w:val="558E39F8"/>
    <w:rsid w:val="55AF9B0F"/>
    <w:rsid w:val="55B591FD"/>
    <w:rsid w:val="55FC7E0C"/>
    <w:rsid w:val="5603F180"/>
    <w:rsid w:val="561BF19A"/>
    <w:rsid w:val="5638A64D"/>
    <w:rsid w:val="564A62CA"/>
    <w:rsid w:val="56897990"/>
    <w:rsid w:val="56BAF00E"/>
    <w:rsid w:val="56CC7841"/>
    <w:rsid w:val="56D506DC"/>
    <w:rsid w:val="56F76821"/>
    <w:rsid w:val="571DDD34"/>
    <w:rsid w:val="57212108"/>
    <w:rsid w:val="5784A706"/>
    <w:rsid w:val="57A0E79D"/>
    <w:rsid w:val="57B4AD9F"/>
    <w:rsid w:val="57D56376"/>
    <w:rsid w:val="57EC9AC3"/>
    <w:rsid w:val="57FBBB9E"/>
    <w:rsid w:val="57FBFF82"/>
    <w:rsid w:val="58212393"/>
    <w:rsid w:val="5866C0F5"/>
    <w:rsid w:val="5876E3D0"/>
    <w:rsid w:val="58A4759A"/>
    <w:rsid w:val="58B27CAF"/>
    <w:rsid w:val="58CCD41B"/>
    <w:rsid w:val="590A2EF2"/>
    <w:rsid w:val="5914AD3A"/>
    <w:rsid w:val="59174A56"/>
    <w:rsid w:val="59376A61"/>
    <w:rsid w:val="593EA345"/>
    <w:rsid w:val="596A9604"/>
    <w:rsid w:val="596C7719"/>
    <w:rsid w:val="596FF479"/>
    <w:rsid w:val="5972FC41"/>
    <w:rsid w:val="59A3CB97"/>
    <w:rsid w:val="59A6AB34"/>
    <w:rsid w:val="59C50D4B"/>
    <w:rsid w:val="5A58C1CA"/>
    <w:rsid w:val="5A6BB27D"/>
    <w:rsid w:val="5AA22B7D"/>
    <w:rsid w:val="5AB4268C"/>
    <w:rsid w:val="5AF3DBDB"/>
    <w:rsid w:val="5B1E2269"/>
    <w:rsid w:val="5B2AB8A6"/>
    <w:rsid w:val="5B3E1ADF"/>
    <w:rsid w:val="5B4811F9"/>
    <w:rsid w:val="5B4DA10C"/>
    <w:rsid w:val="5B533BDD"/>
    <w:rsid w:val="5B5FE4C4"/>
    <w:rsid w:val="5B88D2BA"/>
    <w:rsid w:val="5BA98C64"/>
    <w:rsid w:val="5BB072D1"/>
    <w:rsid w:val="5BB99BF1"/>
    <w:rsid w:val="5BC3CB6B"/>
    <w:rsid w:val="5C13F3C5"/>
    <w:rsid w:val="5C1637C0"/>
    <w:rsid w:val="5C3ADC37"/>
    <w:rsid w:val="5C436EDE"/>
    <w:rsid w:val="5C52F978"/>
    <w:rsid w:val="5C764407"/>
    <w:rsid w:val="5C8FAC3C"/>
    <w:rsid w:val="5C9658C4"/>
    <w:rsid w:val="5CCF70A5"/>
    <w:rsid w:val="5D3DCFB4"/>
    <w:rsid w:val="5D51D7AB"/>
    <w:rsid w:val="5D5F7C15"/>
    <w:rsid w:val="5D8A8BF1"/>
    <w:rsid w:val="5D92B8F6"/>
    <w:rsid w:val="5D980418"/>
    <w:rsid w:val="5DA67E00"/>
    <w:rsid w:val="5DAEE5D2"/>
    <w:rsid w:val="5DB52E65"/>
    <w:rsid w:val="5DDF3F3F"/>
    <w:rsid w:val="5DF701CF"/>
    <w:rsid w:val="5E4C3F9F"/>
    <w:rsid w:val="5E57D6C0"/>
    <w:rsid w:val="5E696E60"/>
    <w:rsid w:val="5ECAAA1F"/>
    <w:rsid w:val="5EE243D0"/>
    <w:rsid w:val="5EFB6C2D"/>
    <w:rsid w:val="5F24F525"/>
    <w:rsid w:val="5F2737AE"/>
    <w:rsid w:val="5F2D8D38"/>
    <w:rsid w:val="5F5C7443"/>
    <w:rsid w:val="5F797076"/>
    <w:rsid w:val="5F8A50D1"/>
    <w:rsid w:val="5FC48BF6"/>
    <w:rsid w:val="5FCE8977"/>
    <w:rsid w:val="5FF14510"/>
    <w:rsid w:val="5FFBA7BC"/>
    <w:rsid w:val="6005BB39"/>
    <w:rsid w:val="602091C6"/>
    <w:rsid w:val="6036BDDB"/>
    <w:rsid w:val="604D3B63"/>
    <w:rsid w:val="604F6361"/>
    <w:rsid w:val="604F798C"/>
    <w:rsid w:val="60503736"/>
    <w:rsid w:val="60AA25C2"/>
    <w:rsid w:val="60D6A7F4"/>
    <w:rsid w:val="60D730C8"/>
    <w:rsid w:val="60E244D5"/>
    <w:rsid w:val="6106D00E"/>
    <w:rsid w:val="6109AFAB"/>
    <w:rsid w:val="611540D7"/>
    <w:rsid w:val="6131F0A9"/>
    <w:rsid w:val="613586EC"/>
    <w:rsid w:val="615F238F"/>
    <w:rsid w:val="616B6571"/>
    <w:rsid w:val="6186A167"/>
    <w:rsid w:val="6187E963"/>
    <w:rsid w:val="61AEDD7C"/>
    <w:rsid w:val="61BD3D32"/>
    <w:rsid w:val="61DC8532"/>
    <w:rsid w:val="61E43BCF"/>
    <w:rsid w:val="61F9B01E"/>
    <w:rsid w:val="62021EA9"/>
    <w:rsid w:val="6219E492"/>
    <w:rsid w:val="62247919"/>
    <w:rsid w:val="6252E754"/>
    <w:rsid w:val="627008AF"/>
    <w:rsid w:val="6272DCFC"/>
    <w:rsid w:val="628CE48F"/>
    <w:rsid w:val="629D3C13"/>
    <w:rsid w:val="62B2199D"/>
    <w:rsid w:val="62B7E94C"/>
    <w:rsid w:val="62CC5D2E"/>
    <w:rsid w:val="630E7E81"/>
    <w:rsid w:val="6317B593"/>
    <w:rsid w:val="6350F8CF"/>
    <w:rsid w:val="63855D72"/>
    <w:rsid w:val="63C9612B"/>
    <w:rsid w:val="63D0F28D"/>
    <w:rsid w:val="63EEB7B5"/>
    <w:rsid w:val="6435B64F"/>
    <w:rsid w:val="6441506D"/>
    <w:rsid w:val="64526AC4"/>
    <w:rsid w:val="6452B940"/>
    <w:rsid w:val="64596E90"/>
    <w:rsid w:val="6466FE5C"/>
    <w:rsid w:val="6495D6CD"/>
    <w:rsid w:val="649ABE21"/>
    <w:rsid w:val="64B53631"/>
    <w:rsid w:val="64EC4503"/>
    <w:rsid w:val="64FAA699"/>
    <w:rsid w:val="65212DD3"/>
    <w:rsid w:val="652FDB8A"/>
    <w:rsid w:val="654C0FB3"/>
    <w:rsid w:val="655B575E"/>
    <w:rsid w:val="6568537C"/>
    <w:rsid w:val="65924FFE"/>
    <w:rsid w:val="65A1ADAE"/>
    <w:rsid w:val="65EA5124"/>
    <w:rsid w:val="66431D38"/>
    <w:rsid w:val="6645B881"/>
    <w:rsid w:val="6649190C"/>
    <w:rsid w:val="664F871F"/>
    <w:rsid w:val="6660D510"/>
    <w:rsid w:val="6664D555"/>
    <w:rsid w:val="669DDC0A"/>
    <w:rsid w:val="66AA632F"/>
    <w:rsid w:val="6741CFFE"/>
    <w:rsid w:val="675F767C"/>
    <w:rsid w:val="67847148"/>
    <w:rsid w:val="67C6D9A1"/>
    <w:rsid w:val="681626E2"/>
    <w:rsid w:val="6834829D"/>
    <w:rsid w:val="685FA356"/>
    <w:rsid w:val="687FE2EB"/>
    <w:rsid w:val="688FB56A"/>
    <w:rsid w:val="68945E42"/>
    <w:rsid w:val="68AD8EA0"/>
    <w:rsid w:val="68C228D8"/>
    <w:rsid w:val="68CD5E4F"/>
    <w:rsid w:val="68D8AC60"/>
    <w:rsid w:val="68DEF752"/>
    <w:rsid w:val="68EC0FB8"/>
    <w:rsid w:val="6907D1F6"/>
    <w:rsid w:val="6918C7C7"/>
    <w:rsid w:val="692041A9"/>
    <w:rsid w:val="69262A63"/>
    <w:rsid w:val="6929EB87"/>
    <w:rsid w:val="6939B476"/>
    <w:rsid w:val="694DD2A5"/>
    <w:rsid w:val="697DC005"/>
    <w:rsid w:val="69B59D4F"/>
    <w:rsid w:val="69C3D1BB"/>
    <w:rsid w:val="69F8B49A"/>
    <w:rsid w:val="6A32ACC6"/>
    <w:rsid w:val="6A3B0464"/>
    <w:rsid w:val="6A7AC7B3"/>
    <w:rsid w:val="6A7DEEE1"/>
    <w:rsid w:val="6A94509A"/>
    <w:rsid w:val="6A961CB1"/>
    <w:rsid w:val="6AD584D7"/>
    <w:rsid w:val="6AEF36AA"/>
    <w:rsid w:val="6AF4009F"/>
    <w:rsid w:val="6B16173A"/>
    <w:rsid w:val="6B47F168"/>
    <w:rsid w:val="6B48477A"/>
    <w:rsid w:val="6B59C451"/>
    <w:rsid w:val="6B68915D"/>
    <w:rsid w:val="6B77528D"/>
    <w:rsid w:val="6BADB55F"/>
    <w:rsid w:val="6BB15E53"/>
    <w:rsid w:val="6BD3E21C"/>
    <w:rsid w:val="6BE0ACD0"/>
    <w:rsid w:val="6BE0EDA3"/>
    <w:rsid w:val="6BF6374A"/>
    <w:rsid w:val="6BF97B1E"/>
    <w:rsid w:val="6BFF124B"/>
    <w:rsid w:val="6C175B87"/>
    <w:rsid w:val="6C4272A4"/>
    <w:rsid w:val="6CC04816"/>
    <w:rsid w:val="6CE20CB7"/>
    <w:rsid w:val="6D14BB5A"/>
    <w:rsid w:val="6D4C524E"/>
    <w:rsid w:val="6DA8FE3B"/>
    <w:rsid w:val="6DEBC546"/>
    <w:rsid w:val="6E2B9701"/>
    <w:rsid w:val="6E361B25"/>
    <w:rsid w:val="6E87FC28"/>
    <w:rsid w:val="6E8FF2E2"/>
    <w:rsid w:val="6E989CB0"/>
    <w:rsid w:val="6F36B9F8"/>
    <w:rsid w:val="6F49397A"/>
    <w:rsid w:val="6F56265C"/>
    <w:rsid w:val="6F6296BE"/>
    <w:rsid w:val="6F645193"/>
    <w:rsid w:val="6F70711B"/>
    <w:rsid w:val="6F7CCB32"/>
    <w:rsid w:val="6F8AD520"/>
    <w:rsid w:val="6F95BB11"/>
    <w:rsid w:val="6FAB9D8A"/>
    <w:rsid w:val="6FC602EC"/>
    <w:rsid w:val="6FD2E279"/>
    <w:rsid w:val="702522B7"/>
    <w:rsid w:val="7033FE08"/>
    <w:rsid w:val="70590219"/>
    <w:rsid w:val="705DCF6F"/>
    <w:rsid w:val="7068E43B"/>
    <w:rsid w:val="7077C607"/>
    <w:rsid w:val="707B589A"/>
    <w:rsid w:val="70A03D3B"/>
    <w:rsid w:val="70B10D87"/>
    <w:rsid w:val="70CCEC41"/>
    <w:rsid w:val="70D28A59"/>
    <w:rsid w:val="70FB7A49"/>
    <w:rsid w:val="7110F824"/>
    <w:rsid w:val="71335227"/>
    <w:rsid w:val="7150B71E"/>
    <w:rsid w:val="715FDCCE"/>
    <w:rsid w:val="71703505"/>
    <w:rsid w:val="71A786D7"/>
    <w:rsid w:val="71BF9CEA"/>
    <w:rsid w:val="71C4E9B3"/>
    <w:rsid w:val="71DDAC0E"/>
    <w:rsid w:val="72072F33"/>
    <w:rsid w:val="721728FB"/>
    <w:rsid w:val="7225ACF1"/>
    <w:rsid w:val="724F41B6"/>
    <w:rsid w:val="724FEE54"/>
    <w:rsid w:val="72680D6A"/>
    <w:rsid w:val="7280DA3C"/>
    <w:rsid w:val="729875ED"/>
    <w:rsid w:val="72B942C9"/>
    <w:rsid w:val="72C3940E"/>
    <w:rsid w:val="72C8916E"/>
    <w:rsid w:val="72CF2288"/>
    <w:rsid w:val="72E12032"/>
    <w:rsid w:val="7316072E"/>
    <w:rsid w:val="735C7F95"/>
    <w:rsid w:val="735CC379"/>
    <w:rsid w:val="736E8455"/>
    <w:rsid w:val="739B813C"/>
    <w:rsid w:val="73A2FF94"/>
    <w:rsid w:val="73C16AEE"/>
    <w:rsid w:val="73E31374"/>
    <w:rsid w:val="740D4DD7"/>
    <w:rsid w:val="741CDC73"/>
    <w:rsid w:val="74200BCA"/>
    <w:rsid w:val="7429977F"/>
    <w:rsid w:val="74616E4E"/>
    <w:rsid w:val="748990B0"/>
    <w:rsid w:val="749BEC7A"/>
    <w:rsid w:val="74D0D502"/>
    <w:rsid w:val="74ED1E9C"/>
    <w:rsid w:val="74F89E72"/>
    <w:rsid w:val="75048F8E"/>
    <w:rsid w:val="7520A3C6"/>
    <w:rsid w:val="75322CF7"/>
    <w:rsid w:val="756A6BA5"/>
    <w:rsid w:val="757EC70B"/>
    <w:rsid w:val="757EE3D5"/>
    <w:rsid w:val="75B5C30F"/>
    <w:rsid w:val="75BBDC2B"/>
    <w:rsid w:val="75F38CEE"/>
    <w:rsid w:val="7605F636"/>
    <w:rsid w:val="761461B2"/>
    <w:rsid w:val="764223FD"/>
    <w:rsid w:val="76544CF1"/>
    <w:rsid w:val="76551B72"/>
    <w:rsid w:val="76873792"/>
    <w:rsid w:val="7688FA90"/>
    <w:rsid w:val="76930E0D"/>
    <w:rsid w:val="76931594"/>
    <w:rsid w:val="76BA0534"/>
    <w:rsid w:val="76C1F2BA"/>
    <w:rsid w:val="76E3EEA2"/>
    <w:rsid w:val="77381C97"/>
    <w:rsid w:val="774014B5"/>
    <w:rsid w:val="776EBAED"/>
    <w:rsid w:val="77AB3EEC"/>
    <w:rsid w:val="77E1E228"/>
    <w:rsid w:val="78010590"/>
    <w:rsid w:val="78222C97"/>
    <w:rsid w:val="782EDE6E"/>
    <w:rsid w:val="782FF0B8"/>
    <w:rsid w:val="78303F34"/>
    <w:rsid w:val="78E8FF43"/>
    <w:rsid w:val="79002FD0"/>
    <w:rsid w:val="7928801A"/>
    <w:rsid w:val="79538686"/>
    <w:rsid w:val="797A2D72"/>
    <w:rsid w:val="79A0488A"/>
    <w:rsid w:val="79A34510"/>
    <w:rsid w:val="79B2DCA0"/>
    <w:rsid w:val="79BD573B"/>
    <w:rsid w:val="79CAB656"/>
    <w:rsid w:val="79D67016"/>
    <w:rsid w:val="79DB860B"/>
    <w:rsid w:val="79F54E71"/>
    <w:rsid w:val="79F9937C"/>
    <w:rsid w:val="7A5DE072"/>
    <w:rsid w:val="7A5F97DD"/>
    <w:rsid w:val="7A95CCB2"/>
    <w:rsid w:val="7AA54965"/>
    <w:rsid w:val="7ADA346D"/>
    <w:rsid w:val="7AE48A8D"/>
    <w:rsid w:val="7AEF56E7"/>
    <w:rsid w:val="7AFBECE0"/>
    <w:rsid w:val="7B072B74"/>
    <w:rsid w:val="7B900D21"/>
    <w:rsid w:val="7B90A25A"/>
    <w:rsid w:val="7B9563DD"/>
    <w:rsid w:val="7BA9C714"/>
    <w:rsid w:val="7BE3BEE3"/>
    <w:rsid w:val="7C2B1C8E"/>
    <w:rsid w:val="7C4119C6"/>
    <w:rsid w:val="7C54DDD8"/>
    <w:rsid w:val="7C5E8958"/>
    <w:rsid w:val="7C710406"/>
    <w:rsid w:val="7C7604CE"/>
    <w:rsid w:val="7CA79AFA"/>
    <w:rsid w:val="7CDCD9F3"/>
    <w:rsid w:val="7D024F91"/>
    <w:rsid w:val="7D0D72B7"/>
    <w:rsid w:val="7D32E587"/>
    <w:rsid w:val="7D3583E9"/>
    <w:rsid w:val="7D9221C9"/>
    <w:rsid w:val="7DAE460C"/>
    <w:rsid w:val="7DE2B326"/>
    <w:rsid w:val="7DE69282"/>
    <w:rsid w:val="7DFE64C2"/>
    <w:rsid w:val="7E0C5FA1"/>
    <w:rsid w:val="7E4D35E2"/>
    <w:rsid w:val="7E542C75"/>
    <w:rsid w:val="7E5FAB3C"/>
    <w:rsid w:val="7E723C41"/>
    <w:rsid w:val="7E754ED8"/>
    <w:rsid w:val="7E918DD2"/>
    <w:rsid w:val="7E9E1FF2"/>
    <w:rsid w:val="7EC05596"/>
    <w:rsid w:val="7ED5D82A"/>
    <w:rsid w:val="7ED99C9F"/>
    <w:rsid w:val="7EF10F36"/>
    <w:rsid w:val="7F013211"/>
    <w:rsid w:val="7F363153"/>
    <w:rsid w:val="7F64B362"/>
    <w:rsid w:val="7F66A144"/>
    <w:rsid w:val="7F78BA88"/>
    <w:rsid w:val="7FA35B25"/>
    <w:rsid w:val="7FBCE41D"/>
    <w:rsid w:val="7FBFA33A"/>
    <w:rsid w:val="7FD1838B"/>
    <w:rsid w:val="7FE90643"/>
    <w:rsid w:val="7FFBE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28BCD2"/>
  <w15:docId w15:val="{B7AE0EFE-DCD3-4038-88DC-40C8DF80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rsid w:val="7110F824"/>
    <w:pPr>
      <w:spacing w:after="0"/>
    </w:pPr>
    <w:rPr>
      <w:rFonts w:ascii="Times New Roman" w:hAnsi="Times New Roman" w:eastAsia="Times New Roman" w:cs="Times New Roman"/>
      <w:sz w:val="24"/>
      <w:szCs w:val="24"/>
      <w:lang w:val="cs-CZ" w:eastAsia="en-US"/>
    </w:rPr>
  </w:style>
  <w:style w:type="paragraph" w:styleId="Nadpis1">
    <w:name w:val="heading 1"/>
    <w:basedOn w:val="Normln"/>
    <w:next w:val="Normln"/>
    <w:link w:val="Nadpis1Char"/>
    <w:uiPriority w:val="1"/>
    <w:rsid w:val="7110F824"/>
    <w:pPr>
      <w:keepNext/>
      <w:jc w:val="both"/>
      <w:outlineLvl w:val="0"/>
    </w:pPr>
    <w:rPr>
      <w:rFonts w:ascii="Futura Bk BT" w:hAnsi="Futura Bk BT"/>
      <w:b/>
      <w:bCs/>
      <w:color w:val="999999"/>
      <w:sz w:val="20"/>
      <w:szCs w:val="20"/>
    </w:rPr>
  </w:style>
  <w:style w:type="paragraph" w:styleId="Nadpis2">
    <w:name w:val="heading 2"/>
    <w:basedOn w:val="Normln"/>
    <w:next w:val="Normln"/>
    <w:link w:val="Nadpis2Char"/>
    <w:uiPriority w:val="9"/>
    <w:semiHidden/>
    <w:unhideWhenUsed/>
    <w:rsid w:val="7110F824"/>
    <w:pPr>
      <w:keepNext/>
      <w:spacing w:before="40"/>
      <w:outlineLvl w:val="1"/>
    </w:pPr>
    <w:rPr>
      <w:rFonts w:asciiTheme="majorHAnsi" w:hAnsiTheme="majorHAnsi" w:eastAsiaTheme="majorEastAsia" w:cstheme="majorBidi"/>
      <w:color w:val="17294B" w:themeColor="accent1" w:themeShade="BF"/>
      <w:sz w:val="26"/>
      <w:szCs w:val="26"/>
    </w:rPr>
  </w:style>
  <w:style w:type="paragraph" w:styleId="Nadpis3">
    <w:name w:val="heading 3"/>
    <w:basedOn w:val="Normln"/>
    <w:next w:val="Normln"/>
    <w:link w:val="Nadpis3Char"/>
    <w:uiPriority w:val="9"/>
    <w:semiHidden/>
    <w:unhideWhenUsed/>
    <w:qFormat/>
    <w:rsid w:val="7110F824"/>
    <w:pPr>
      <w:keepNext/>
      <w:spacing w:before="40"/>
      <w:outlineLvl w:val="2"/>
    </w:pPr>
    <w:rPr>
      <w:rFonts w:asciiTheme="majorHAnsi" w:hAnsiTheme="majorHAnsi" w:eastAsiaTheme="majorEastAsia" w:cstheme="majorBidi"/>
      <w:color w:val="0F1B32" w:themeColor="accent1" w:themeShade="80"/>
    </w:rPr>
  </w:style>
  <w:style w:type="paragraph" w:styleId="Nadpis4">
    <w:name w:val="heading 4"/>
    <w:basedOn w:val="Normln"/>
    <w:next w:val="Normln"/>
    <w:link w:val="Nadpis4Char"/>
    <w:uiPriority w:val="9"/>
    <w:unhideWhenUsed/>
    <w:qFormat/>
    <w:rsid w:val="7110F824"/>
    <w:pPr>
      <w:keepNext/>
      <w:spacing w:before="40"/>
      <w:outlineLvl w:val="3"/>
    </w:pPr>
    <w:rPr>
      <w:rFonts w:asciiTheme="majorHAnsi" w:hAnsiTheme="majorHAnsi" w:eastAsiaTheme="majorEastAsia" w:cstheme="majorBidi"/>
      <w:i/>
      <w:iCs/>
      <w:color w:val="17294B" w:themeColor="accent1" w:themeShade="BF"/>
    </w:rPr>
  </w:style>
  <w:style w:type="paragraph" w:styleId="Nadpis5">
    <w:name w:val="heading 5"/>
    <w:basedOn w:val="Normln"/>
    <w:next w:val="Normln"/>
    <w:link w:val="Nadpis5Char"/>
    <w:uiPriority w:val="9"/>
    <w:semiHidden/>
    <w:unhideWhenUsed/>
    <w:qFormat/>
    <w:rsid w:val="7110F824"/>
    <w:pPr>
      <w:keepNext/>
      <w:spacing w:before="40"/>
      <w:outlineLvl w:val="4"/>
    </w:pPr>
    <w:rPr>
      <w:rFonts w:asciiTheme="majorHAnsi" w:hAnsiTheme="majorHAnsi" w:eastAsiaTheme="majorEastAsia" w:cstheme="majorBidi"/>
      <w:color w:val="17294B" w:themeColor="accent1" w:themeShade="BF"/>
    </w:rPr>
  </w:style>
  <w:style w:type="paragraph" w:styleId="Nadpis6">
    <w:name w:val="heading 6"/>
    <w:basedOn w:val="Normln"/>
    <w:next w:val="Normln"/>
    <w:link w:val="Nadpis6Char"/>
    <w:uiPriority w:val="9"/>
    <w:semiHidden/>
    <w:unhideWhenUsed/>
    <w:qFormat/>
    <w:rsid w:val="7110F824"/>
    <w:pPr>
      <w:keepNext/>
      <w:spacing w:before="40"/>
      <w:outlineLvl w:val="5"/>
    </w:pPr>
    <w:rPr>
      <w:rFonts w:asciiTheme="majorHAnsi" w:hAnsiTheme="majorHAnsi" w:eastAsiaTheme="majorEastAsia" w:cstheme="majorBidi"/>
      <w:color w:val="0F1B32" w:themeColor="accent1" w:themeShade="80"/>
    </w:rPr>
  </w:style>
  <w:style w:type="paragraph" w:styleId="Nadpis7">
    <w:name w:val="heading 7"/>
    <w:basedOn w:val="Normln"/>
    <w:next w:val="Normln"/>
    <w:link w:val="Nadpis7Char"/>
    <w:uiPriority w:val="9"/>
    <w:unhideWhenUsed/>
    <w:qFormat/>
    <w:rsid w:val="7110F824"/>
    <w:pPr>
      <w:keepNext/>
      <w:spacing w:before="40"/>
      <w:outlineLvl w:val="6"/>
    </w:pPr>
    <w:rPr>
      <w:rFonts w:asciiTheme="majorHAnsi" w:hAnsiTheme="majorHAnsi" w:eastAsiaTheme="majorEastAsia" w:cstheme="majorBidi"/>
      <w:i/>
      <w:iCs/>
      <w:color w:val="0F1B32" w:themeColor="accent1" w:themeShade="80"/>
    </w:rPr>
  </w:style>
  <w:style w:type="paragraph" w:styleId="Nadpis8">
    <w:name w:val="heading 8"/>
    <w:basedOn w:val="Normln"/>
    <w:next w:val="Normln"/>
    <w:link w:val="Nadpis8Char"/>
    <w:uiPriority w:val="9"/>
    <w:unhideWhenUsed/>
    <w:qFormat/>
    <w:rsid w:val="7110F824"/>
    <w:pPr>
      <w:keepNext/>
      <w:spacing w:before="40"/>
      <w:outlineLvl w:val="7"/>
    </w:pPr>
    <w:rPr>
      <w:rFonts w:asciiTheme="majorHAnsi" w:hAnsiTheme="majorHAnsi" w:eastAsiaTheme="majorEastAsia" w:cstheme="majorBidi"/>
      <w:color w:val="5A6F72"/>
      <w:sz w:val="21"/>
      <w:szCs w:val="21"/>
    </w:rPr>
  </w:style>
  <w:style w:type="paragraph" w:styleId="Nadpis9">
    <w:name w:val="heading 9"/>
    <w:basedOn w:val="Normln"/>
    <w:next w:val="Normln"/>
    <w:link w:val="Nadpis9Char"/>
    <w:uiPriority w:val="9"/>
    <w:unhideWhenUsed/>
    <w:qFormat/>
    <w:rsid w:val="7110F824"/>
    <w:pPr>
      <w:keepNext/>
      <w:spacing w:before="40"/>
      <w:outlineLvl w:val="8"/>
    </w:pPr>
    <w:rPr>
      <w:rFonts w:asciiTheme="majorHAnsi" w:hAnsiTheme="majorHAnsi" w:eastAsiaTheme="majorEastAsia" w:cstheme="majorBidi"/>
      <w:i/>
      <w:iCs/>
      <w:color w:val="5A6F72"/>
      <w:sz w:val="21"/>
      <w:szCs w:val="21"/>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7110F824"/>
    <w:pPr>
      <w:tabs>
        <w:tab w:val="center" w:pos="4680"/>
        <w:tab w:val="right" w:pos="9360"/>
      </w:tabs>
    </w:pPr>
  </w:style>
  <w:style w:type="character" w:styleId="ZhlavChar" w:customStyle="1">
    <w:name w:val="Záhlaví Char"/>
    <w:basedOn w:val="Standardnpsmoodstavce"/>
    <w:link w:val="Zhlav"/>
    <w:uiPriority w:val="99"/>
    <w:rsid w:val="7110F824"/>
    <w:rPr>
      <w:noProof w:val="0"/>
      <w:lang w:val="cs-CZ"/>
    </w:rPr>
  </w:style>
  <w:style w:type="paragraph" w:styleId="Zpat">
    <w:name w:val="footer"/>
    <w:basedOn w:val="Normln"/>
    <w:link w:val="ZpatChar"/>
    <w:uiPriority w:val="99"/>
    <w:unhideWhenUsed/>
    <w:rsid w:val="7110F824"/>
    <w:pPr>
      <w:tabs>
        <w:tab w:val="center" w:pos="4680"/>
        <w:tab w:val="right" w:pos="9360"/>
      </w:tabs>
    </w:pPr>
  </w:style>
  <w:style w:type="character" w:styleId="ZpatChar" w:customStyle="1">
    <w:name w:val="Zápatí Char"/>
    <w:basedOn w:val="Standardnpsmoodstavce"/>
    <w:link w:val="Zpat"/>
    <w:uiPriority w:val="99"/>
    <w:rsid w:val="7110F824"/>
    <w:rPr>
      <w:noProof w:val="0"/>
      <w:lang w:val="cs-CZ"/>
    </w:rPr>
  </w:style>
  <w:style w:type="paragraph" w:styleId="Textbubliny">
    <w:name w:val="Balloon Text"/>
    <w:basedOn w:val="Normln"/>
    <w:link w:val="TextbublinyChar"/>
    <w:uiPriority w:val="99"/>
    <w:semiHidden/>
    <w:unhideWhenUsed/>
    <w:rsid w:val="7110F824"/>
    <w:rPr>
      <w:rFonts w:ascii="Tahoma" w:hAnsi="Tahoma" w:cs="Tahoma"/>
      <w:sz w:val="16"/>
      <w:szCs w:val="16"/>
    </w:rPr>
  </w:style>
  <w:style w:type="character" w:styleId="TextbublinyChar" w:customStyle="1">
    <w:name w:val="Text bubliny Char"/>
    <w:basedOn w:val="Standardnpsmoodstavce"/>
    <w:link w:val="Textbubliny"/>
    <w:uiPriority w:val="99"/>
    <w:semiHidden/>
    <w:rsid w:val="7110F824"/>
    <w:rPr>
      <w:rFonts w:ascii="Tahoma" w:hAnsi="Tahoma" w:cs="Tahoma" w:eastAsiaTheme="minorEastAsia"/>
      <w:noProof w:val="0"/>
      <w:sz w:val="16"/>
      <w:szCs w:val="16"/>
      <w:lang w:val="cs-CZ"/>
    </w:rPr>
  </w:style>
  <w:style w:type="paragraph" w:styleId="MainText" w:customStyle="1">
    <w:name w:val="Main Text"/>
    <w:basedOn w:val="Normln"/>
    <w:uiPriority w:val="1"/>
    <w:rsid w:val="7110F824"/>
    <w:pPr>
      <w:spacing w:line="300" w:lineRule="exact"/>
      <w:ind w:left="120"/>
    </w:pPr>
  </w:style>
  <w:style w:type="character" w:styleId="Hypertextovodkaz">
    <w:name w:val="Hyperlink"/>
    <w:basedOn w:val="Standardnpsmoodstavce"/>
    <w:uiPriority w:val="99"/>
    <w:unhideWhenUsed/>
    <w:rsid w:val="00F81642"/>
    <w:rPr>
      <w:color w:val="80BBAD" w:themeColor="hyperlink"/>
      <w:u w:val="single"/>
    </w:rPr>
  </w:style>
  <w:style w:type="character" w:styleId="Nadpis1Char" w:customStyle="1">
    <w:name w:val="Nadpis 1 Char"/>
    <w:basedOn w:val="Standardnpsmoodstavce"/>
    <w:link w:val="Nadpis1"/>
    <w:uiPriority w:val="1"/>
    <w:rsid w:val="7110F824"/>
    <w:rPr>
      <w:rFonts w:ascii="Futura Bk BT" w:hAnsi="Futura Bk BT" w:eastAsia="Times New Roman" w:cs="Times New Roman"/>
      <w:b/>
      <w:bCs/>
      <w:noProof w:val="0"/>
      <w:color w:val="999999"/>
      <w:sz w:val="20"/>
      <w:szCs w:val="20"/>
      <w:lang w:val="cs-CZ" w:eastAsia="en-US"/>
    </w:rPr>
  </w:style>
  <w:style w:type="character" w:styleId="UnresolvedMention1" w:customStyle="1">
    <w:name w:val="Unresolved Mention1"/>
    <w:basedOn w:val="Standardnpsmoodstavce"/>
    <w:uiPriority w:val="99"/>
    <w:semiHidden/>
    <w:unhideWhenUsed/>
    <w:rsid w:val="00685808"/>
    <w:rPr>
      <w:color w:val="808080"/>
      <w:shd w:val="clear" w:color="auto" w:fill="E6E6E6"/>
    </w:rPr>
  </w:style>
  <w:style w:type="paragraph" w:styleId="BodyCopy" w:customStyle="1">
    <w:name w:val="Body Copy"/>
    <w:basedOn w:val="Normln"/>
    <w:uiPriority w:val="1"/>
    <w:qFormat/>
    <w:rsid w:val="7110F824"/>
    <w:rPr>
      <w:color w:val="425254" w:themeColor="text1"/>
    </w:rPr>
  </w:style>
  <w:style w:type="paragraph" w:styleId="Boilerplate" w:customStyle="1">
    <w:name w:val="Boilerplate"/>
    <w:basedOn w:val="Normln"/>
    <w:uiPriority w:val="1"/>
    <w:rsid w:val="7110F824"/>
    <w:rPr>
      <w:rFonts w:ascii="Calibre" w:hAnsi="Calibre" w:eastAsia="Calibri"/>
      <w:color w:val="7F8481" w:themeColor="accent5"/>
      <w:sz w:val="21"/>
      <w:szCs w:val="21"/>
    </w:rPr>
  </w:style>
  <w:style w:type="paragraph" w:styleId="Subhead" w:customStyle="1">
    <w:name w:val="Subhead"/>
    <w:basedOn w:val="Normln"/>
    <w:uiPriority w:val="1"/>
    <w:qFormat/>
    <w:rsid w:val="7110F824"/>
    <w:pPr>
      <w:jc w:val="center"/>
    </w:pPr>
    <w:rPr>
      <w:i/>
      <w:iCs/>
      <w:color w:val="425254" w:themeColor="text1"/>
    </w:rPr>
  </w:style>
  <w:style w:type="paragraph" w:styleId="Headline" w:customStyle="1">
    <w:name w:val="Headline"/>
    <w:basedOn w:val="Normln"/>
    <w:uiPriority w:val="1"/>
    <w:qFormat/>
    <w:rsid w:val="7110F824"/>
    <w:pPr>
      <w:jc w:val="center"/>
    </w:pPr>
    <w:rPr>
      <w:b/>
      <w:bCs/>
      <w:color w:val="425254" w:themeColor="text1"/>
      <w:sz w:val="28"/>
      <w:szCs w:val="28"/>
    </w:rPr>
  </w:style>
  <w:style w:type="paragraph" w:styleId="Contact" w:customStyle="1">
    <w:name w:val="Contact"/>
    <w:basedOn w:val="MainText"/>
    <w:uiPriority w:val="1"/>
    <w:qFormat/>
    <w:rsid w:val="7110F824"/>
    <w:pPr>
      <w:ind w:left="0"/>
    </w:pPr>
    <w:rPr>
      <w:b/>
      <w:bCs/>
      <w:color w:val="425254" w:themeColor="text1"/>
    </w:rPr>
  </w:style>
  <w:style w:type="character" w:styleId="Odkaznakoment">
    <w:name w:val="annotation reference"/>
    <w:basedOn w:val="Standardnpsmoodstavce"/>
    <w:uiPriority w:val="99"/>
    <w:unhideWhenUsed/>
    <w:rsid w:val="007C1420"/>
    <w:rPr>
      <w:sz w:val="16"/>
      <w:szCs w:val="16"/>
    </w:rPr>
  </w:style>
  <w:style w:type="paragraph" w:styleId="Textkomente">
    <w:name w:val="annotation text"/>
    <w:basedOn w:val="Normln"/>
    <w:link w:val="TextkomenteChar"/>
    <w:uiPriority w:val="99"/>
    <w:unhideWhenUsed/>
    <w:rsid w:val="7110F824"/>
    <w:rPr>
      <w:sz w:val="20"/>
      <w:szCs w:val="20"/>
    </w:rPr>
  </w:style>
  <w:style w:type="character" w:styleId="TextkomenteChar" w:customStyle="1">
    <w:name w:val="Text komentáře Char"/>
    <w:basedOn w:val="Standardnpsmoodstavce"/>
    <w:link w:val="Textkomente"/>
    <w:uiPriority w:val="99"/>
    <w:rsid w:val="7110F824"/>
    <w:rPr>
      <w:rFonts w:ascii="Times New Roman" w:hAnsi="Times New Roman" w:eastAsia="Times New Roman" w:cs="Times New Roman"/>
      <w:noProof w:val="0"/>
      <w:sz w:val="20"/>
      <w:szCs w:val="20"/>
      <w:lang w:val="cs-CZ" w:eastAsia="en-US"/>
    </w:rPr>
  </w:style>
  <w:style w:type="paragraph" w:styleId="Pedmtkomente">
    <w:name w:val="annotation subject"/>
    <w:basedOn w:val="Textkomente"/>
    <w:next w:val="Textkomente"/>
    <w:link w:val="PedmtkomenteChar"/>
    <w:uiPriority w:val="99"/>
    <w:semiHidden/>
    <w:unhideWhenUsed/>
    <w:rsid w:val="7110F824"/>
    <w:rPr>
      <w:b/>
      <w:bCs/>
    </w:rPr>
  </w:style>
  <w:style w:type="character" w:styleId="PedmtkomenteChar" w:customStyle="1">
    <w:name w:val="Předmět komentáře Char"/>
    <w:basedOn w:val="TextkomenteChar"/>
    <w:link w:val="Pedmtkomente"/>
    <w:uiPriority w:val="99"/>
    <w:semiHidden/>
    <w:rsid w:val="7110F824"/>
    <w:rPr>
      <w:rFonts w:ascii="Times New Roman" w:hAnsi="Times New Roman" w:eastAsia="Times New Roman" w:cs="Times New Roman"/>
      <w:b/>
      <w:bCs/>
      <w:noProof w:val="0"/>
      <w:sz w:val="20"/>
      <w:szCs w:val="20"/>
      <w:lang w:val="cs-CZ" w:eastAsia="en-US"/>
    </w:rPr>
  </w:style>
  <w:style w:type="character" w:styleId="normaltextrun" w:customStyle="1">
    <w:name w:val="normaltextrun"/>
    <w:rsid w:val="003B0B9B"/>
  </w:style>
  <w:style w:type="paragraph" w:styleId="Textpoznpodarou">
    <w:name w:val="footnote text"/>
    <w:basedOn w:val="Normln"/>
    <w:link w:val="TextpoznpodarouChar"/>
    <w:uiPriority w:val="1"/>
    <w:rsid w:val="7110F824"/>
    <w:rPr>
      <w:sz w:val="20"/>
      <w:szCs w:val="20"/>
    </w:rPr>
  </w:style>
  <w:style w:type="character" w:styleId="TextpoznpodarouChar" w:customStyle="1">
    <w:name w:val="Text pozn. pod čarou Char"/>
    <w:basedOn w:val="Standardnpsmoodstavce"/>
    <w:link w:val="Textpoznpodarou"/>
    <w:uiPriority w:val="1"/>
    <w:rsid w:val="7110F824"/>
    <w:rPr>
      <w:rFonts w:ascii="Times New Roman" w:hAnsi="Times New Roman" w:eastAsia="Times New Roman" w:cs="Times New Roman"/>
      <w:noProof w:val="0"/>
      <w:sz w:val="20"/>
      <w:szCs w:val="20"/>
      <w:lang w:val="cs-CZ" w:eastAsia="en-US"/>
    </w:rPr>
  </w:style>
  <w:style w:type="character" w:styleId="Znakapoznpodarou">
    <w:name w:val="footnote reference"/>
    <w:rsid w:val="00D43EBE"/>
    <w:rPr>
      <w:vertAlign w:val="superscript"/>
    </w:rPr>
  </w:style>
  <w:style w:type="paragraph" w:styleId="Odstavecseseznamem">
    <w:name w:val="List Paragraph"/>
    <w:basedOn w:val="Normln"/>
    <w:uiPriority w:val="34"/>
    <w:qFormat/>
    <w:rsid w:val="7110F824"/>
    <w:pPr>
      <w:ind w:left="720"/>
    </w:pPr>
    <w:rPr>
      <w:rFonts w:ascii="Calibri" w:hAnsi="Calibri" w:cs="Calibri" w:eastAsiaTheme="minorEastAsia"/>
      <w:sz w:val="22"/>
      <w:szCs w:val="22"/>
    </w:rPr>
  </w:style>
  <w:style w:type="paragraph" w:styleId="Revize">
    <w:name w:val="Revision"/>
    <w:hidden/>
    <w:uiPriority w:val="99"/>
    <w:semiHidden/>
    <w:rsid w:val="00CA2436"/>
    <w:pPr>
      <w:spacing w:after="0" w:line="240" w:lineRule="auto"/>
    </w:pPr>
    <w:rPr>
      <w:rFonts w:ascii="Times New Roman" w:hAnsi="Times New Roman" w:eastAsia="Times New Roman" w:cs="Times New Roman"/>
      <w:sz w:val="24"/>
      <w:szCs w:val="24"/>
      <w:lang w:eastAsia="en-US"/>
    </w:rPr>
  </w:style>
  <w:style w:type="character" w:styleId="Nadpis2Char" w:customStyle="1">
    <w:name w:val="Nadpis 2 Char"/>
    <w:basedOn w:val="Standardnpsmoodstavce"/>
    <w:link w:val="Nadpis2"/>
    <w:uiPriority w:val="9"/>
    <w:semiHidden/>
    <w:rsid w:val="7110F824"/>
    <w:rPr>
      <w:rFonts w:asciiTheme="majorHAnsi" w:hAnsiTheme="majorHAnsi" w:eastAsiaTheme="majorEastAsia" w:cstheme="majorBidi"/>
      <w:noProof w:val="0"/>
      <w:color w:val="17294B" w:themeColor="accent1" w:themeShade="BF"/>
      <w:sz w:val="26"/>
      <w:szCs w:val="26"/>
      <w:lang w:val="cs-CZ" w:eastAsia="en-US"/>
    </w:rPr>
  </w:style>
  <w:style w:type="character" w:styleId="Nadpis3Char" w:customStyle="1">
    <w:name w:val="Nadpis 3 Char"/>
    <w:basedOn w:val="Standardnpsmoodstavce"/>
    <w:link w:val="Nadpis3"/>
    <w:uiPriority w:val="9"/>
    <w:semiHidden/>
    <w:rsid w:val="7110F824"/>
    <w:rPr>
      <w:rFonts w:asciiTheme="majorHAnsi" w:hAnsiTheme="majorHAnsi" w:eastAsiaTheme="majorEastAsia" w:cstheme="majorBidi"/>
      <w:noProof w:val="0"/>
      <w:color w:val="0F1B32" w:themeColor="accent1" w:themeShade="80"/>
      <w:sz w:val="24"/>
      <w:szCs w:val="24"/>
      <w:lang w:val="cs-CZ" w:eastAsia="en-US"/>
    </w:rPr>
  </w:style>
  <w:style w:type="character" w:styleId="Nadpis6Char" w:customStyle="1">
    <w:name w:val="Nadpis 6 Char"/>
    <w:basedOn w:val="Standardnpsmoodstavce"/>
    <w:link w:val="Nadpis6"/>
    <w:uiPriority w:val="9"/>
    <w:semiHidden/>
    <w:rsid w:val="7110F824"/>
    <w:rPr>
      <w:rFonts w:asciiTheme="majorHAnsi" w:hAnsiTheme="majorHAnsi" w:eastAsiaTheme="majorEastAsia" w:cstheme="majorBidi"/>
      <w:noProof w:val="0"/>
      <w:color w:val="0F1B32" w:themeColor="accent1" w:themeShade="80"/>
      <w:sz w:val="24"/>
      <w:szCs w:val="24"/>
      <w:lang w:val="cs-CZ" w:eastAsia="en-US"/>
    </w:rPr>
  </w:style>
  <w:style w:type="paragraph" w:styleId="ez" w:customStyle="1">
    <w:name w:val="e_z"/>
    <w:basedOn w:val="Normln"/>
    <w:uiPriority w:val="1"/>
    <w:rsid w:val="7110F824"/>
    <w:pPr>
      <w:spacing w:beforeAutospacing="1" w:afterAutospacing="1"/>
    </w:pPr>
    <w:rPr>
      <w:lang w:eastAsia="cs-CZ"/>
    </w:rPr>
  </w:style>
  <w:style w:type="character" w:styleId="atm-text-decorator" w:customStyle="1">
    <w:name w:val="atm-text-decorator"/>
    <w:basedOn w:val="Standardnpsmoodstavce"/>
    <w:rsid w:val="00047123"/>
  </w:style>
  <w:style w:type="character" w:styleId="mol-formatted-datedate" w:customStyle="1">
    <w:name w:val="mol-formatted-date__date"/>
    <w:basedOn w:val="Standardnpsmoodstavce"/>
    <w:rsid w:val="00047123"/>
  </w:style>
  <w:style w:type="character" w:styleId="mol-formatted-datetime" w:customStyle="1">
    <w:name w:val="mol-formatted-date__time"/>
    <w:basedOn w:val="Standardnpsmoodstavce"/>
    <w:rsid w:val="00047123"/>
  </w:style>
  <w:style w:type="paragraph" w:styleId="Normlnweb">
    <w:name w:val="Normal (Web)"/>
    <w:basedOn w:val="Normln"/>
    <w:uiPriority w:val="99"/>
    <w:semiHidden/>
    <w:unhideWhenUsed/>
    <w:rsid w:val="7110F824"/>
    <w:pPr>
      <w:spacing w:beforeAutospacing="1" w:afterAutospacing="1"/>
    </w:pPr>
    <w:rPr>
      <w:lang w:eastAsia="cs-CZ"/>
    </w:rPr>
  </w:style>
  <w:style w:type="character" w:styleId="viiyi" w:customStyle="1">
    <w:name w:val="viiyi"/>
    <w:basedOn w:val="Standardnpsmoodstavce"/>
    <w:rsid w:val="0021614D"/>
  </w:style>
  <w:style w:type="character" w:styleId="jlqj4b" w:customStyle="1">
    <w:name w:val="jlqj4b"/>
    <w:basedOn w:val="Standardnpsmoodstavce"/>
    <w:rsid w:val="0021614D"/>
  </w:style>
  <w:style w:type="character" w:styleId="Nadpis5Char" w:customStyle="1">
    <w:name w:val="Nadpis 5 Char"/>
    <w:basedOn w:val="Standardnpsmoodstavce"/>
    <w:link w:val="Nadpis5"/>
    <w:uiPriority w:val="9"/>
    <w:semiHidden/>
    <w:rsid w:val="7110F824"/>
    <w:rPr>
      <w:rFonts w:asciiTheme="majorHAnsi" w:hAnsiTheme="majorHAnsi" w:eastAsiaTheme="majorEastAsia" w:cstheme="majorBidi"/>
      <w:noProof w:val="0"/>
      <w:color w:val="17294B" w:themeColor="accent1" w:themeShade="BF"/>
      <w:sz w:val="24"/>
      <w:szCs w:val="24"/>
      <w:lang w:val="cs-CZ" w:eastAsia="en-US"/>
    </w:rPr>
  </w:style>
  <w:style w:type="paragraph" w:styleId="paragraph" w:customStyle="1">
    <w:name w:val="paragraph"/>
    <w:basedOn w:val="Normln"/>
    <w:rsid w:val="7110F824"/>
    <w:pPr>
      <w:spacing w:beforeAutospacing="1" w:afterAutospacing="1"/>
    </w:pPr>
    <w:rPr>
      <w:lang w:eastAsia="cs-CZ"/>
    </w:rPr>
  </w:style>
  <w:style w:type="character" w:styleId="Siln">
    <w:name w:val="Strong"/>
    <w:basedOn w:val="Standardnpsmoodstavce"/>
    <w:uiPriority w:val="22"/>
    <w:qFormat/>
    <w:rsid w:val="00B11155"/>
    <w:rPr>
      <w:b/>
      <w:bCs/>
    </w:rPr>
  </w:style>
  <w:style w:type="character" w:styleId="eop" w:customStyle="1">
    <w:name w:val="eop"/>
    <w:basedOn w:val="Standardnpsmoodstavce"/>
    <w:rsid w:val="00B11155"/>
  </w:style>
  <w:style w:type="character" w:styleId="Zdraznn">
    <w:name w:val="Emphasis"/>
    <w:basedOn w:val="Standardnpsmoodstavce"/>
    <w:uiPriority w:val="20"/>
    <w:qFormat/>
    <w:rsid w:val="00F81315"/>
    <w:rPr>
      <w:i/>
      <w:iCs/>
    </w:rPr>
  </w:style>
  <w:style w:type="paragraph" w:styleId="Nzev">
    <w:name w:val="Title"/>
    <w:basedOn w:val="Normln"/>
    <w:next w:val="Normln"/>
    <w:link w:val="NzevChar"/>
    <w:uiPriority w:val="10"/>
    <w:qFormat/>
    <w:rsid w:val="7110F824"/>
    <w:pPr>
      <w:contextualSpacing/>
    </w:pPr>
    <w:rPr>
      <w:rFonts w:asciiTheme="majorHAnsi" w:hAnsiTheme="majorHAnsi" w:eastAsiaTheme="majorEastAsia" w:cstheme="majorBidi"/>
      <w:sz w:val="56"/>
      <w:szCs w:val="56"/>
    </w:rPr>
  </w:style>
  <w:style w:type="paragraph" w:styleId="Podnadpis">
    <w:name w:val="Subtitle"/>
    <w:basedOn w:val="Normln"/>
    <w:next w:val="Normln"/>
    <w:link w:val="PodnadpisChar"/>
    <w:uiPriority w:val="11"/>
    <w:qFormat/>
    <w:rsid w:val="7110F824"/>
    <w:rPr>
      <w:rFonts w:eastAsiaTheme="minorEastAsia"/>
      <w:color w:val="7C9598"/>
    </w:rPr>
  </w:style>
  <w:style w:type="paragraph" w:styleId="Citt">
    <w:name w:val="Quote"/>
    <w:basedOn w:val="Normln"/>
    <w:next w:val="Normln"/>
    <w:link w:val="CittChar"/>
    <w:uiPriority w:val="29"/>
    <w:qFormat/>
    <w:rsid w:val="7110F824"/>
    <w:pPr>
      <w:spacing w:before="200"/>
      <w:ind w:left="864" w:right="864"/>
      <w:jc w:val="center"/>
    </w:pPr>
    <w:rPr>
      <w:i/>
      <w:iCs/>
      <w:color w:val="698386"/>
    </w:rPr>
  </w:style>
  <w:style w:type="paragraph" w:styleId="Vrazncitt">
    <w:name w:val="Intense Quote"/>
    <w:basedOn w:val="Normln"/>
    <w:next w:val="Normln"/>
    <w:link w:val="VrazncittChar"/>
    <w:uiPriority w:val="30"/>
    <w:qFormat/>
    <w:rsid w:val="7110F824"/>
    <w:pPr>
      <w:spacing w:before="360" w:after="360"/>
      <w:ind w:left="864" w:right="864"/>
      <w:jc w:val="center"/>
    </w:pPr>
    <w:rPr>
      <w:i/>
      <w:iCs/>
      <w:color w:val="1F3765" w:themeColor="accent1"/>
    </w:rPr>
  </w:style>
  <w:style w:type="character" w:styleId="Nadpis4Char" w:customStyle="1">
    <w:name w:val="Nadpis 4 Char"/>
    <w:basedOn w:val="Standardnpsmoodstavce"/>
    <w:link w:val="Nadpis4"/>
    <w:uiPriority w:val="9"/>
    <w:rsid w:val="7110F824"/>
    <w:rPr>
      <w:rFonts w:asciiTheme="majorHAnsi" w:hAnsiTheme="majorHAnsi" w:eastAsiaTheme="majorEastAsia" w:cstheme="majorBidi"/>
      <w:i/>
      <w:iCs/>
      <w:noProof w:val="0"/>
      <w:color w:val="17294B" w:themeColor="accent1" w:themeShade="BF"/>
      <w:lang w:val="cs-CZ"/>
    </w:rPr>
  </w:style>
  <w:style w:type="character" w:styleId="Nadpis7Char" w:customStyle="1">
    <w:name w:val="Nadpis 7 Char"/>
    <w:basedOn w:val="Standardnpsmoodstavce"/>
    <w:link w:val="Nadpis7"/>
    <w:uiPriority w:val="9"/>
    <w:rsid w:val="7110F824"/>
    <w:rPr>
      <w:rFonts w:asciiTheme="majorHAnsi" w:hAnsiTheme="majorHAnsi" w:eastAsiaTheme="majorEastAsia" w:cstheme="majorBidi"/>
      <w:i/>
      <w:iCs/>
      <w:noProof w:val="0"/>
      <w:color w:val="0F1B32" w:themeColor="accent1" w:themeShade="80"/>
      <w:lang w:val="cs-CZ"/>
    </w:rPr>
  </w:style>
  <w:style w:type="character" w:styleId="Nadpis8Char" w:customStyle="1">
    <w:name w:val="Nadpis 8 Char"/>
    <w:basedOn w:val="Standardnpsmoodstavce"/>
    <w:link w:val="Nadpis8"/>
    <w:uiPriority w:val="9"/>
    <w:rsid w:val="7110F824"/>
    <w:rPr>
      <w:rFonts w:asciiTheme="majorHAnsi" w:hAnsiTheme="majorHAnsi" w:eastAsiaTheme="majorEastAsia" w:cstheme="majorBidi"/>
      <w:noProof w:val="0"/>
      <w:color w:val="5A6F72"/>
      <w:sz w:val="21"/>
      <w:szCs w:val="21"/>
      <w:lang w:val="cs-CZ"/>
    </w:rPr>
  </w:style>
  <w:style w:type="character" w:styleId="Nadpis9Char" w:customStyle="1">
    <w:name w:val="Nadpis 9 Char"/>
    <w:basedOn w:val="Standardnpsmoodstavce"/>
    <w:link w:val="Nadpis9"/>
    <w:uiPriority w:val="9"/>
    <w:rsid w:val="7110F824"/>
    <w:rPr>
      <w:rFonts w:asciiTheme="majorHAnsi" w:hAnsiTheme="majorHAnsi" w:eastAsiaTheme="majorEastAsia" w:cstheme="majorBidi"/>
      <w:i/>
      <w:iCs/>
      <w:noProof w:val="0"/>
      <w:color w:val="5A6F72"/>
      <w:sz w:val="21"/>
      <w:szCs w:val="21"/>
      <w:lang w:val="cs-CZ"/>
    </w:rPr>
  </w:style>
  <w:style w:type="character" w:styleId="NzevChar" w:customStyle="1">
    <w:name w:val="Název Char"/>
    <w:basedOn w:val="Standardnpsmoodstavce"/>
    <w:link w:val="Nzev"/>
    <w:uiPriority w:val="10"/>
    <w:rsid w:val="7110F824"/>
    <w:rPr>
      <w:rFonts w:asciiTheme="majorHAnsi" w:hAnsiTheme="majorHAnsi" w:eastAsiaTheme="majorEastAsia" w:cstheme="majorBidi"/>
      <w:noProof w:val="0"/>
      <w:sz w:val="56"/>
      <w:szCs w:val="56"/>
      <w:lang w:val="cs-CZ"/>
    </w:rPr>
  </w:style>
  <w:style w:type="character" w:styleId="PodnadpisChar" w:customStyle="1">
    <w:name w:val="Podnadpis Char"/>
    <w:basedOn w:val="Standardnpsmoodstavce"/>
    <w:link w:val="Podnadpis"/>
    <w:uiPriority w:val="11"/>
    <w:rsid w:val="7110F824"/>
    <w:rPr>
      <w:noProof w:val="0"/>
      <w:color w:val="7C9598"/>
      <w:lang w:val="cs-CZ"/>
    </w:rPr>
  </w:style>
  <w:style w:type="character" w:styleId="CittChar" w:customStyle="1">
    <w:name w:val="Citát Char"/>
    <w:basedOn w:val="Standardnpsmoodstavce"/>
    <w:link w:val="Citt"/>
    <w:uiPriority w:val="29"/>
    <w:rsid w:val="7110F824"/>
    <w:rPr>
      <w:i/>
      <w:iCs/>
      <w:noProof w:val="0"/>
      <w:color w:val="698386"/>
      <w:lang w:val="cs-CZ"/>
    </w:rPr>
  </w:style>
  <w:style w:type="character" w:styleId="VrazncittChar" w:customStyle="1">
    <w:name w:val="Výrazný citát Char"/>
    <w:basedOn w:val="Standardnpsmoodstavce"/>
    <w:link w:val="Vrazncitt"/>
    <w:uiPriority w:val="30"/>
    <w:rsid w:val="7110F824"/>
    <w:rPr>
      <w:i/>
      <w:iCs/>
      <w:noProof w:val="0"/>
      <w:color w:val="1F3765" w:themeColor="accent1"/>
      <w:lang w:val="cs-CZ"/>
    </w:rPr>
  </w:style>
  <w:style w:type="paragraph" w:styleId="Obsah1">
    <w:name w:val="toc 1"/>
    <w:basedOn w:val="Normln"/>
    <w:next w:val="Normln"/>
    <w:uiPriority w:val="39"/>
    <w:unhideWhenUsed/>
    <w:rsid w:val="7110F824"/>
    <w:pPr>
      <w:spacing w:after="100"/>
    </w:pPr>
  </w:style>
  <w:style w:type="paragraph" w:styleId="Obsah2">
    <w:name w:val="toc 2"/>
    <w:basedOn w:val="Normln"/>
    <w:next w:val="Normln"/>
    <w:uiPriority w:val="39"/>
    <w:unhideWhenUsed/>
    <w:rsid w:val="7110F824"/>
    <w:pPr>
      <w:spacing w:after="100"/>
      <w:ind w:left="220"/>
    </w:pPr>
  </w:style>
  <w:style w:type="paragraph" w:styleId="Obsah3">
    <w:name w:val="toc 3"/>
    <w:basedOn w:val="Normln"/>
    <w:next w:val="Normln"/>
    <w:uiPriority w:val="39"/>
    <w:unhideWhenUsed/>
    <w:rsid w:val="7110F824"/>
    <w:pPr>
      <w:spacing w:after="100"/>
      <w:ind w:left="440"/>
    </w:pPr>
  </w:style>
  <w:style w:type="paragraph" w:styleId="Obsah4">
    <w:name w:val="toc 4"/>
    <w:basedOn w:val="Normln"/>
    <w:next w:val="Normln"/>
    <w:uiPriority w:val="39"/>
    <w:unhideWhenUsed/>
    <w:rsid w:val="7110F824"/>
    <w:pPr>
      <w:spacing w:after="100"/>
      <w:ind w:left="660"/>
    </w:pPr>
  </w:style>
  <w:style w:type="paragraph" w:styleId="Obsah5">
    <w:name w:val="toc 5"/>
    <w:basedOn w:val="Normln"/>
    <w:next w:val="Normln"/>
    <w:uiPriority w:val="39"/>
    <w:unhideWhenUsed/>
    <w:rsid w:val="7110F824"/>
    <w:pPr>
      <w:spacing w:after="100"/>
      <w:ind w:left="880"/>
    </w:pPr>
  </w:style>
  <w:style w:type="paragraph" w:styleId="Obsah6">
    <w:name w:val="toc 6"/>
    <w:basedOn w:val="Normln"/>
    <w:next w:val="Normln"/>
    <w:uiPriority w:val="39"/>
    <w:unhideWhenUsed/>
    <w:rsid w:val="7110F824"/>
    <w:pPr>
      <w:spacing w:after="100"/>
      <w:ind w:left="1100"/>
    </w:pPr>
  </w:style>
  <w:style w:type="paragraph" w:styleId="Obsah7">
    <w:name w:val="toc 7"/>
    <w:basedOn w:val="Normln"/>
    <w:next w:val="Normln"/>
    <w:uiPriority w:val="39"/>
    <w:unhideWhenUsed/>
    <w:rsid w:val="7110F824"/>
    <w:pPr>
      <w:spacing w:after="100"/>
      <w:ind w:left="1320"/>
    </w:pPr>
  </w:style>
  <w:style w:type="paragraph" w:styleId="Obsah8">
    <w:name w:val="toc 8"/>
    <w:basedOn w:val="Normln"/>
    <w:next w:val="Normln"/>
    <w:uiPriority w:val="39"/>
    <w:unhideWhenUsed/>
    <w:rsid w:val="7110F824"/>
    <w:pPr>
      <w:spacing w:after="100"/>
      <w:ind w:left="1540"/>
    </w:pPr>
  </w:style>
  <w:style w:type="paragraph" w:styleId="Obsah9">
    <w:name w:val="toc 9"/>
    <w:basedOn w:val="Normln"/>
    <w:next w:val="Normln"/>
    <w:uiPriority w:val="39"/>
    <w:unhideWhenUsed/>
    <w:rsid w:val="7110F824"/>
    <w:pPr>
      <w:spacing w:after="100"/>
      <w:ind w:left="1760"/>
    </w:pPr>
  </w:style>
  <w:style w:type="paragraph" w:styleId="Textvysvtlivek">
    <w:name w:val="endnote text"/>
    <w:basedOn w:val="Normln"/>
    <w:link w:val="TextvysvtlivekChar"/>
    <w:uiPriority w:val="99"/>
    <w:semiHidden/>
    <w:unhideWhenUsed/>
    <w:rsid w:val="7110F824"/>
    <w:rPr>
      <w:sz w:val="20"/>
      <w:szCs w:val="20"/>
    </w:rPr>
  </w:style>
  <w:style w:type="character" w:styleId="TextvysvtlivekChar" w:customStyle="1">
    <w:name w:val="Text vysvětlivek Char"/>
    <w:basedOn w:val="Standardnpsmoodstavce"/>
    <w:link w:val="Textvysvtlivek"/>
    <w:uiPriority w:val="99"/>
    <w:semiHidden/>
    <w:rsid w:val="7110F824"/>
    <w:rPr>
      <w:noProof w:val="0"/>
      <w:sz w:val="20"/>
      <w:szCs w:val="20"/>
      <w:lang w:val="cs-CZ"/>
    </w:rPr>
  </w:style>
  <w:style w:type="character" w:styleId="Nevyeenzmnka1" w:customStyle="1">
    <w:name w:val="Nevyřešená zmínka1"/>
    <w:basedOn w:val="Standardnpsmoodstavce"/>
    <w:uiPriority w:val="99"/>
    <w:semiHidden/>
    <w:unhideWhenUsed/>
    <w:rsid w:val="0037184B"/>
    <w:rPr>
      <w:color w:val="605E5C"/>
      <w:shd w:val="clear" w:color="auto" w:fill="E1DFDD"/>
    </w:rPr>
  </w:style>
  <w:style w:type="character" w:styleId="Odkaznavysvtlivky">
    <w:name w:val="endnote reference"/>
    <w:basedOn w:val="Standardnpsmoodstavce"/>
    <w:uiPriority w:val="99"/>
    <w:semiHidden/>
    <w:unhideWhenUsed/>
    <w:rsid w:val="008F5860"/>
    <w:rPr>
      <w:vertAlign w:val="superscript"/>
    </w:rPr>
  </w:style>
  <w:style w:type="character" w:styleId="Nevyeenzmnka">
    <w:name w:val="Unresolved Mention"/>
    <w:basedOn w:val="Standardnpsmoodstavce"/>
    <w:uiPriority w:val="99"/>
    <w:semiHidden/>
    <w:unhideWhenUsed/>
    <w:rsid w:val="00C81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914">
      <w:bodyDiv w:val="1"/>
      <w:marLeft w:val="0"/>
      <w:marRight w:val="0"/>
      <w:marTop w:val="0"/>
      <w:marBottom w:val="0"/>
      <w:divBdr>
        <w:top w:val="none" w:sz="0" w:space="0" w:color="auto"/>
        <w:left w:val="none" w:sz="0" w:space="0" w:color="auto"/>
        <w:bottom w:val="none" w:sz="0" w:space="0" w:color="auto"/>
        <w:right w:val="none" w:sz="0" w:space="0" w:color="auto"/>
      </w:divBdr>
    </w:div>
    <w:div w:id="33702754">
      <w:bodyDiv w:val="1"/>
      <w:marLeft w:val="0"/>
      <w:marRight w:val="0"/>
      <w:marTop w:val="0"/>
      <w:marBottom w:val="0"/>
      <w:divBdr>
        <w:top w:val="none" w:sz="0" w:space="0" w:color="auto"/>
        <w:left w:val="none" w:sz="0" w:space="0" w:color="auto"/>
        <w:bottom w:val="none" w:sz="0" w:space="0" w:color="auto"/>
        <w:right w:val="none" w:sz="0" w:space="0" w:color="auto"/>
      </w:divBdr>
    </w:div>
    <w:div w:id="64568156">
      <w:bodyDiv w:val="1"/>
      <w:marLeft w:val="0"/>
      <w:marRight w:val="0"/>
      <w:marTop w:val="0"/>
      <w:marBottom w:val="0"/>
      <w:divBdr>
        <w:top w:val="none" w:sz="0" w:space="0" w:color="auto"/>
        <w:left w:val="none" w:sz="0" w:space="0" w:color="auto"/>
        <w:bottom w:val="none" w:sz="0" w:space="0" w:color="auto"/>
        <w:right w:val="none" w:sz="0" w:space="0" w:color="auto"/>
      </w:divBdr>
    </w:div>
    <w:div w:id="65614840">
      <w:bodyDiv w:val="1"/>
      <w:marLeft w:val="0"/>
      <w:marRight w:val="0"/>
      <w:marTop w:val="0"/>
      <w:marBottom w:val="0"/>
      <w:divBdr>
        <w:top w:val="none" w:sz="0" w:space="0" w:color="auto"/>
        <w:left w:val="none" w:sz="0" w:space="0" w:color="auto"/>
        <w:bottom w:val="none" w:sz="0" w:space="0" w:color="auto"/>
        <w:right w:val="none" w:sz="0" w:space="0" w:color="auto"/>
      </w:divBdr>
    </w:div>
    <w:div w:id="84620555">
      <w:bodyDiv w:val="1"/>
      <w:marLeft w:val="0"/>
      <w:marRight w:val="0"/>
      <w:marTop w:val="0"/>
      <w:marBottom w:val="0"/>
      <w:divBdr>
        <w:top w:val="none" w:sz="0" w:space="0" w:color="auto"/>
        <w:left w:val="none" w:sz="0" w:space="0" w:color="auto"/>
        <w:bottom w:val="none" w:sz="0" w:space="0" w:color="auto"/>
        <w:right w:val="none" w:sz="0" w:space="0" w:color="auto"/>
      </w:divBdr>
    </w:div>
    <w:div w:id="90516716">
      <w:bodyDiv w:val="1"/>
      <w:marLeft w:val="0"/>
      <w:marRight w:val="0"/>
      <w:marTop w:val="0"/>
      <w:marBottom w:val="0"/>
      <w:divBdr>
        <w:top w:val="none" w:sz="0" w:space="0" w:color="auto"/>
        <w:left w:val="none" w:sz="0" w:space="0" w:color="auto"/>
        <w:bottom w:val="none" w:sz="0" w:space="0" w:color="auto"/>
        <w:right w:val="none" w:sz="0" w:space="0" w:color="auto"/>
      </w:divBdr>
    </w:div>
    <w:div w:id="100731838">
      <w:bodyDiv w:val="1"/>
      <w:marLeft w:val="0"/>
      <w:marRight w:val="0"/>
      <w:marTop w:val="0"/>
      <w:marBottom w:val="0"/>
      <w:divBdr>
        <w:top w:val="none" w:sz="0" w:space="0" w:color="auto"/>
        <w:left w:val="none" w:sz="0" w:space="0" w:color="auto"/>
        <w:bottom w:val="none" w:sz="0" w:space="0" w:color="auto"/>
        <w:right w:val="none" w:sz="0" w:space="0" w:color="auto"/>
      </w:divBdr>
    </w:div>
    <w:div w:id="113793833">
      <w:bodyDiv w:val="1"/>
      <w:marLeft w:val="0"/>
      <w:marRight w:val="0"/>
      <w:marTop w:val="0"/>
      <w:marBottom w:val="0"/>
      <w:divBdr>
        <w:top w:val="none" w:sz="0" w:space="0" w:color="auto"/>
        <w:left w:val="none" w:sz="0" w:space="0" w:color="auto"/>
        <w:bottom w:val="none" w:sz="0" w:space="0" w:color="auto"/>
        <w:right w:val="none" w:sz="0" w:space="0" w:color="auto"/>
      </w:divBdr>
    </w:div>
    <w:div w:id="117340737">
      <w:bodyDiv w:val="1"/>
      <w:marLeft w:val="0"/>
      <w:marRight w:val="0"/>
      <w:marTop w:val="0"/>
      <w:marBottom w:val="0"/>
      <w:divBdr>
        <w:top w:val="none" w:sz="0" w:space="0" w:color="auto"/>
        <w:left w:val="none" w:sz="0" w:space="0" w:color="auto"/>
        <w:bottom w:val="none" w:sz="0" w:space="0" w:color="auto"/>
        <w:right w:val="none" w:sz="0" w:space="0" w:color="auto"/>
      </w:divBdr>
      <w:divsChild>
        <w:div w:id="182133541">
          <w:marLeft w:val="0"/>
          <w:marRight w:val="0"/>
          <w:marTop w:val="0"/>
          <w:marBottom w:val="0"/>
          <w:divBdr>
            <w:top w:val="none" w:sz="0" w:space="0" w:color="auto"/>
            <w:left w:val="none" w:sz="0" w:space="0" w:color="auto"/>
            <w:bottom w:val="none" w:sz="0" w:space="0" w:color="auto"/>
            <w:right w:val="none" w:sz="0" w:space="0" w:color="auto"/>
          </w:divBdr>
        </w:div>
        <w:div w:id="233593742">
          <w:marLeft w:val="0"/>
          <w:marRight w:val="0"/>
          <w:marTop w:val="0"/>
          <w:marBottom w:val="0"/>
          <w:divBdr>
            <w:top w:val="none" w:sz="0" w:space="0" w:color="auto"/>
            <w:left w:val="none" w:sz="0" w:space="0" w:color="auto"/>
            <w:bottom w:val="none" w:sz="0" w:space="0" w:color="auto"/>
            <w:right w:val="none" w:sz="0" w:space="0" w:color="auto"/>
          </w:divBdr>
        </w:div>
        <w:div w:id="769204310">
          <w:marLeft w:val="0"/>
          <w:marRight w:val="0"/>
          <w:marTop w:val="0"/>
          <w:marBottom w:val="0"/>
          <w:divBdr>
            <w:top w:val="none" w:sz="0" w:space="0" w:color="auto"/>
            <w:left w:val="none" w:sz="0" w:space="0" w:color="auto"/>
            <w:bottom w:val="none" w:sz="0" w:space="0" w:color="auto"/>
            <w:right w:val="none" w:sz="0" w:space="0" w:color="auto"/>
          </w:divBdr>
        </w:div>
        <w:div w:id="1088385237">
          <w:marLeft w:val="0"/>
          <w:marRight w:val="0"/>
          <w:marTop w:val="0"/>
          <w:marBottom w:val="0"/>
          <w:divBdr>
            <w:top w:val="none" w:sz="0" w:space="0" w:color="auto"/>
            <w:left w:val="none" w:sz="0" w:space="0" w:color="auto"/>
            <w:bottom w:val="none" w:sz="0" w:space="0" w:color="auto"/>
            <w:right w:val="none" w:sz="0" w:space="0" w:color="auto"/>
          </w:divBdr>
        </w:div>
        <w:div w:id="1199900183">
          <w:marLeft w:val="0"/>
          <w:marRight w:val="0"/>
          <w:marTop w:val="0"/>
          <w:marBottom w:val="0"/>
          <w:divBdr>
            <w:top w:val="none" w:sz="0" w:space="0" w:color="auto"/>
            <w:left w:val="none" w:sz="0" w:space="0" w:color="auto"/>
            <w:bottom w:val="none" w:sz="0" w:space="0" w:color="auto"/>
            <w:right w:val="none" w:sz="0" w:space="0" w:color="auto"/>
          </w:divBdr>
        </w:div>
        <w:div w:id="1512643427">
          <w:marLeft w:val="0"/>
          <w:marRight w:val="0"/>
          <w:marTop w:val="0"/>
          <w:marBottom w:val="0"/>
          <w:divBdr>
            <w:top w:val="none" w:sz="0" w:space="0" w:color="auto"/>
            <w:left w:val="none" w:sz="0" w:space="0" w:color="auto"/>
            <w:bottom w:val="none" w:sz="0" w:space="0" w:color="auto"/>
            <w:right w:val="none" w:sz="0" w:space="0" w:color="auto"/>
          </w:divBdr>
        </w:div>
      </w:divsChild>
    </w:div>
    <w:div w:id="153616879">
      <w:bodyDiv w:val="1"/>
      <w:marLeft w:val="0"/>
      <w:marRight w:val="0"/>
      <w:marTop w:val="0"/>
      <w:marBottom w:val="0"/>
      <w:divBdr>
        <w:top w:val="none" w:sz="0" w:space="0" w:color="auto"/>
        <w:left w:val="none" w:sz="0" w:space="0" w:color="auto"/>
        <w:bottom w:val="none" w:sz="0" w:space="0" w:color="auto"/>
        <w:right w:val="none" w:sz="0" w:space="0" w:color="auto"/>
      </w:divBdr>
    </w:div>
    <w:div w:id="179439586">
      <w:bodyDiv w:val="1"/>
      <w:marLeft w:val="0"/>
      <w:marRight w:val="0"/>
      <w:marTop w:val="0"/>
      <w:marBottom w:val="0"/>
      <w:divBdr>
        <w:top w:val="none" w:sz="0" w:space="0" w:color="auto"/>
        <w:left w:val="none" w:sz="0" w:space="0" w:color="auto"/>
        <w:bottom w:val="none" w:sz="0" w:space="0" w:color="auto"/>
        <w:right w:val="none" w:sz="0" w:space="0" w:color="auto"/>
      </w:divBdr>
    </w:div>
    <w:div w:id="184489513">
      <w:bodyDiv w:val="1"/>
      <w:marLeft w:val="0"/>
      <w:marRight w:val="0"/>
      <w:marTop w:val="0"/>
      <w:marBottom w:val="0"/>
      <w:divBdr>
        <w:top w:val="none" w:sz="0" w:space="0" w:color="auto"/>
        <w:left w:val="none" w:sz="0" w:space="0" w:color="auto"/>
        <w:bottom w:val="none" w:sz="0" w:space="0" w:color="auto"/>
        <w:right w:val="none" w:sz="0" w:space="0" w:color="auto"/>
      </w:divBdr>
    </w:div>
    <w:div w:id="213856409">
      <w:bodyDiv w:val="1"/>
      <w:marLeft w:val="0"/>
      <w:marRight w:val="0"/>
      <w:marTop w:val="0"/>
      <w:marBottom w:val="0"/>
      <w:divBdr>
        <w:top w:val="none" w:sz="0" w:space="0" w:color="auto"/>
        <w:left w:val="none" w:sz="0" w:space="0" w:color="auto"/>
        <w:bottom w:val="none" w:sz="0" w:space="0" w:color="auto"/>
        <w:right w:val="none" w:sz="0" w:space="0" w:color="auto"/>
      </w:divBdr>
    </w:div>
    <w:div w:id="247420640">
      <w:bodyDiv w:val="1"/>
      <w:marLeft w:val="0"/>
      <w:marRight w:val="0"/>
      <w:marTop w:val="0"/>
      <w:marBottom w:val="0"/>
      <w:divBdr>
        <w:top w:val="none" w:sz="0" w:space="0" w:color="auto"/>
        <w:left w:val="none" w:sz="0" w:space="0" w:color="auto"/>
        <w:bottom w:val="none" w:sz="0" w:space="0" w:color="auto"/>
        <w:right w:val="none" w:sz="0" w:space="0" w:color="auto"/>
      </w:divBdr>
    </w:div>
    <w:div w:id="251091081">
      <w:bodyDiv w:val="1"/>
      <w:marLeft w:val="0"/>
      <w:marRight w:val="0"/>
      <w:marTop w:val="0"/>
      <w:marBottom w:val="0"/>
      <w:divBdr>
        <w:top w:val="none" w:sz="0" w:space="0" w:color="auto"/>
        <w:left w:val="none" w:sz="0" w:space="0" w:color="auto"/>
        <w:bottom w:val="none" w:sz="0" w:space="0" w:color="auto"/>
        <w:right w:val="none" w:sz="0" w:space="0" w:color="auto"/>
      </w:divBdr>
    </w:div>
    <w:div w:id="302079572">
      <w:bodyDiv w:val="1"/>
      <w:marLeft w:val="0"/>
      <w:marRight w:val="0"/>
      <w:marTop w:val="0"/>
      <w:marBottom w:val="0"/>
      <w:divBdr>
        <w:top w:val="none" w:sz="0" w:space="0" w:color="auto"/>
        <w:left w:val="none" w:sz="0" w:space="0" w:color="auto"/>
        <w:bottom w:val="none" w:sz="0" w:space="0" w:color="auto"/>
        <w:right w:val="none" w:sz="0" w:space="0" w:color="auto"/>
      </w:divBdr>
    </w:div>
    <w:div w:id="330717378">
      <w:bodyDiv w:val="1"/>
      <w:marLeft w:val="0"/>
      <w:marRight w:val="0"/>
      <w:marTop w:val="0"/>
      <w:marBottom w:val="0"/>
      <w:divBdr>
        <w:top w:val="none" w:sz="0" w:space="0" w:color="auto"/>
        <w:left w:val="none" w:sz="0" w:space="0" w:color="auto"/>
        <w:bottom w:val="none" w:sz="0" w:space="0" w:color="auto"/>
        <w:right w:val="none" w:sz="0" w:space="0" w:color="auto"/>
      </w:divBdr>
    </w:div>
    <w:div w:id="332150110">
      <w:bodyDiv w:val="1"/>
      <w:marLeft w:val="0"/>
      <w:marRight w:val="0"/>
      <w:marTop w:val="0"/>
      <w:marBottom w:val="0"/>
      <w:divBdr>
        <w:top w:val="none" w:sz="0" w:space="0" w:color="auto"/>
        <w:left w:val="none" w:sz="0" w:space="0" w:color="auto"/>
        <w:bottom w:val="none" w:sz="0" w:space="0" w:color="auto"/>
        <w:right w:val="none" w:sz="0" w:space="0" w:color="auto"/>
      </w:divBdr>
    </w:div>
    <w:div w:id="371424289">
      <w:bodyDiv w:val="1"/>
      <w:marLeft w:val="0"/>
      <w:marRight w:val="0"/>
      <w:marTop w:val="0"/>
      <w:marBottom w:val="0"/>
      <w:divBdr>
        <w:top w:val="none" w:sz="0" w:space="0" w:color="auto"/>
        <w:left w:val="none" w:sz="0" w:space="0" w:color="auto"/>
        <w:bottom w:val="none" w:sz="0" w:space="0" w:color="auto"/>
        <w:right w:val="none" w:sz="0" w:space="0" w:color="auto"/>
      </w:divBdr>
    </w:div>
    <w:div w:id="383913245">
      <w:bodyDiv w:val="1"/>
      <w:marLeft w:val="0"/>
      <w:marRight w:val="0"/>
      <w:marTop w:val="0"/>
      <w:marBottom w:val="0"/>
      <w:divBdr>
        <w:top w:val="none" w:sz="0" w:space="0" w:color="auto"/>
        <w:left w:val="none" w:sz="0" w:space="0" w:color="auto"/>
        <w:bottom w:val="none" w:sz="0" w:space="0" w:color="auto"/>
        <w:right w:val="none" w:sz="0" w:space="0" w:color="auto"/>
      </w:divBdr>
    </w:div>
    <w:div w:id="435054297">
      <w:bodyDiv w:val="1"/>
      <w:marLeft w:val="0"/>
      <w:marRight w:val="0"/>
      <w:marTop w:val="0"/>
      <w:marBottom w:val="0"/>
      <w:divBdr>
        <w:top w:val="none" w:sz="0" w:space="0" w:color="auto"/>
        <w:left w:val="none" w:sz="0" w:space="0" w:color="auto"/>
        <w:bottom w:val="none" w:sz="0" w:space="0" w:color="auto"/>
        <w:right w:val="none" w:sz="0" w:space="0" w:color="auto"/>
      </w:divBdr>
    </w:div>
    <w:div w:id="465313883">
      <w:bodyDiv w:val="1"/>
      <w:marLeft w:val="0"/>
      <w:marRight w:val="0"/>
      <w:marTop w:val="0"/>
      <w:marBottom w:val="0"/>
      <w:divBdr>
        <w:top w:val="none" w:sz="0" w:space="0" w:color="auto"/>
        <w:left w:val="none" w:sz="0" w:space="0" w:color="auto"/>
        <w:bottom w:val="none" w:sz="0" w:space="0" w:color="auto"/>
        <w:right w:val="none" w:sz="0" w:space="0" w:color="auto"/>
      </w:divBdr>
    </w:div>
    <w:div w:id="518810601">
      <w:bodyDiv w:val="1"/>
      <w:marLeft w:val="0"/>
      <w:marRight w:val="0"/>
      <w:marTop w:val="0"/>
      <w:marBottom w:val="0"/>
      <w:divBdr>
        <w:top w:val="none" w:sz="0" w:space="0" w:color="auto"/>
        <w:left w:val="none" w:sz="0" w:space="0" w:color="auto"/>
        <w:bottom w:val="none" w:sz="0" w:space="0" w:color="auto"/>
        <w:right w:val="none" w:sz="0" w:space="0" w:color="auto"/>
      </w:divBdr>
    </w:div>
    <w:div w:id="527836264">
      <w:bodyDiv w:val="1"/>
      <w:marLeft w:val="0"/>
      <w:marRight w:val="0"/>
      <w:marTop w:val="0"/>
      <w:marBottom w:val="0"/>
      <w:divBdr>
        <w:top w:val="none" w:sz="0" w:space="0" w:color="auto"/>
        <w:left w:val="none" w:sz="0" w:space="0" w:color="auto"/>
        <w:bottom w:val="none" w:sz="0" w:space="0" w:color="auto"/>
        <w:right w:val="none" w:sz="0" w:space="0" w:color="auto"/>
      </w:divBdr>
    </w:div>
    <w:div w:id="537552000">
      <w:bodyDiv w:val="1"/>
      <w:marLeft w:val="0"/>
      <w:marRight w:val="0"/>
      <w:marTop w:val="0"/>
      <w:marBottom w:val="0"/>
      <w:divBdr>
        <w:top w:val="none" w:sz="0" w:space="0" w:color="auto"/>
        <w:left w:val="none" w:sz="0" w:space="0" w:color="auto"/>
        <w:bottom w:val="none" w:sz="0" w:space="0" w:color="auto"/>
        <w:right w:val="none" w:sz="0" w:space="0" w:color="auto"/>
      </w:divBdr>
    </w:div>
    <w:div w:id="549651635">
      <w:bodyDiv w:val="1"/>
      <w:marLeft w:val="0"/>
      <w:marRight w:val="0"/>
      <w:marTop w:val="0"/>
      <w:marBottom w:val="0"/>
      <w:divBdr>
        <w:top w:val="none" w:sz="0" w:space="0" w:color="auto"/>
        <w:left w:val="none" w:sz="0" w:space="0" w:color="auto"/>
        <w:bottom w:val="none" w:sz="0" w:space="0" w:color="auto"/>
        <w:right w:val="none" w:sz="0" w:space="0" w:color="auto"/>
      </w:divBdr>
    </w:div>
    <w:div w:id="568031160">
      <w:bodyDiv w:val="1"/>
      <w:marLeft w:val="0"/>
      <w:marRight w:val="0"/>
      <w:marTop w:val="0"/>
      <w:marBottom w:val="0"/>
      <w:divBdr>
        <w:top w:val="none" w:sz="0" w:space="0" w:color="auto"/>
        <w:left w:val="none" w:sz="0" w:space="0" w:color="auto"/>
        <w:bottom w:val="none" w:sz="0" w:space="0" w:color="auto"/>
        <w:right w:val="none" w:sz="0" w:space="0" w:color="auto"/>
      </w:divBdr>
    </w:div>
    <w:div w:id="605385178">
      <w:bodyDiv w:val="1"/>
      <w:marLeft w:val="0"/>
      <w:marRight w:val="0"/>
      <w:marTop w:val="0"/>
      <w:marBottom w:val="0"/>
      <w:divBdr>
        <w:top w:val="none" w:sz="0" w:space="0" w:color="auto"/>
        <w:left w:val="none" w:sz="0" w:space="0" w:color="auto"/>
        <w:bottom w:val="none" w:sz="0" w:space="0" w:color="auto"/>
        <w:right w:val="none" w:sz="0" w:space="0" w:color="auto"/>
      </w:divBdr>
    </w:div>
    <w:div w:id="673921844">
      <w:bodyDiv w:val="1"/>
      <w:marLeft w:val="0"/>
      <w:marRight w:val="0"/>
      <w:marTop w:val="0"/>
      <w:marBottom w:val="0"/>
      <w:divBdr>
        <w:top w:val="none" w:sz="0" w:space="0" w:color="auto"/>
        <w:left w:val="none" w:sz="0" w:space="0" w:color="auto"/>
        <w:bottom w:val="none" w:sz="0" w:space="0" w:color="auto"/>
        <w:right w:val="none" w:sz="0" w:space="0" w:color="auto"/>
      </w:divBdr>
    </w:div>
    <w:div w:id="687490737">
      <w:bodyDiv w:val="1"/>
      <w:marLeft w:val="0"/>
      <w:marRight w:val="0"/>
      <w:marTop w:val="0"/>
      <w:marBottom w:val="0"/>
      <w:divBdr>
        <w:top w:val="none" w:sz="0" w:space="0" w:color="auto"/>
        <w:left w:val="none" w:sz="0" w:space="0" w:color="auto"/>
        <w:bottom w:val="none" w:sz="0" w:space="0" w:color="auto"/>
        <w:right w:val="none" w:sz="0" w:space="0" w:color="auto"/>
      </w:divBdr>
      <w:divsChild>
        <w:div w:id="502863094">
          <w:marLeft w:val="0"/>
          <w:marRight w:val="0"/>
          <w:marTop w:val="0"/>
          <w:marBottom w:val="0"/>
          <w:divBdr>
            <w:top w:val="none" w:sz="0" w:space="0" w:color="auto"/>
            <w:left w:val="none" w:sz="0" w:space="0" w:color="auto"/>
            <w:bottom w:val="none" w:sz="0" w:space="0" w:color="auto"/>
            <w:right w:val="none" w:sz="0" w:space="0" w:color="auto"/>
          </w:divBdr>
          <w:divsChild>
            <w:div w:id="881940503">
              <w:marLeft w:val="0"/>
              <w:marRight w:val="0"/>
              <w:marTop w:val="0"/>
              <w:marBottom w:val="0"/>
              <w:divBdr>
                <w:top w:val="none" w:sz="0" w:space="0" w:color="auto"/>
                <w:left w:val="none" w:sz="0" w:space="0" w:color="auto"/>
                <w:bottom w:val="none" w:sz="0" w:space="0" w:color="auto"/>
                <w:right w:val="none" w:sz="0" w:space="0" w:color="auto"/>
              </w:divBdr>
              <w:divsChild>
                <w:div w:id="1627658526">
                  <w:marLeft w:val="0"/>
                  <w:marRight w:val="0"/>
                  <w:marTop w:val="0"/>
                  <w:marBottom w:val="0"/>
                  <w:divBdr>
                    <w:top w:val="none" w:sz="0" w:space="0" w:color="auto"/>
                    <w:left w:val="none" w:sz="0" w:space="0" w:color="auto"/>
                    <w:bottom w:val="none" w:sz="0" w:space="0" w:color="auto"/>
                    <w:right w:val="none" w:sz="0" w:space="0" w:color="auto"/>
                  </w:divBdr>
                  <w:divsChild>
                    <w:div w:id="1317415154">
                      <w:marLeft w:val="0"/>
                      <w:marRight w:val="0"/>
                      <w:marTop w:val="0"/>
                      <w:marBottom w:val="0"/>
                      <w:divBdr>
                        <w:top w:val="none" w:sz="0" w:space="0" w:color="auto"/>
                        <w:left w:val="none" w:sz="0" w:space="0" w:color="auto"/>
                        <w:bottom w:val="none" w:sz="0" w:space="0" w:color="auto"/>
                        <w:right w:val="none" w:sz="0" w:space="0" w:color="auto"/>
                      </w:divBdr>
                      <w:divsChild>
                        <w:div w:id="247859084">
                          <w:marLeft w:val="0"/>
                          <w:marRight w:val="0"/>
                          <w:marTop w:val="0"/>
                          <w:marBottom w:val="0"/>
                          <w:divBdr>
                            <w:top w:val="none" w:sz="0" w:space="0" w:color="auto"/>
                            <w:left w:val="none" w:sz="0" w:space="0" w:color="auto"/>
                            <w:bottom w:val="none" w:sz="0" w:space="0" w:color="auto"/>
                            <w:right w:val="none" w:sz="0" w:space="0" w:color="auto"/>
                          </w:divBdr>
                        </w:div>
                        <w:div w:id="316350942">
                          <w:marLeft w:val="0"/>
                          <w:marRight w:val="0"/>
                          <w:marTop w:val="0"/>
                          <w:marBottom w:val="0"/>
                          <w:divBdr>
                            <w:top w:val="none" w:sz="0" w:space="0" w:color="auto"/>
                            <w:left w:val="none" w:sz="0" w:space="0" w:color="auto"/>
                            <w:bottom w:val="none" w:sz="0" w:space="0" w:color="auto"/>
                            <w:right w:val="none" w:sz="0" w:space="0" w:color="auto"/>
                          </w:divBdr>
                        </w:div>
                        <w:div w:id="421494091">
                          <w:marLeft w:val="0"/>
                          <w:marRight w:val="0"/>
                          <w:marTop w:val="0"/>
                          <w:marBottom w:val="0"/>
                          <w:divBdr>
                            <w:top w:val="none" w:sz="0" w:space="0" w:color="auto"/>
                            <w:left w:val="none" w:sz="0" w:space="0" w:color="auto"/>
                            <w:bottom w:val="none" w:sz="0" w:space="0" w:color="auto"/>
                            <w:right w:val="none" w:sz="0" w:space="0" w:color="auto"/>
                          </w:divBdr>
                        </w:div>
                        <w:div w:id="964501867">
                          <w:marLeft w:val="0"/>
                          <w:marRight w:val="0"/>
                          <w:marTop w:val="0"/>
                          <w:marBottom w:val="0"/>
                          <w:divBdr>
                            <w:top w:val="none" w:sz="0" w:space="0" w:color="auto"/>
                            <w:left w:val="none" w:sz="0" w:space="0" w:color="auto"/>
                            <w:bottom w:val="none" w:sz="0" w:space="0" w:color="auto"/>
                            <w:right w:val="none" w:sz="0" w:space="0" w:color="auto"/>
                          </w:divBdr>
                        </w:div>
                        <w:div w:id="1038820649">
                          <w:marLeft w:val="0"/>
                          <w:marRight w:val="0"/>
                          <w:marTop w:val="0"/>
                          <w:marBottom w:val="0"/>
                          <w:divBdr>
                            <w:top w:val="none" w:sz="0" w:space="0" w:color="auto"/>
                            <w:left w:val="none" w:sz="0" w:space="0" w:color="auto"/>
                            <w:bottom w:val="none" w:sz="0" w:space="0" w:color="auto"/>
                            <w:right w:val="none" w:sz="0" w:space="0" w:color="auto"/>
                          </w:divBdr>
                        </w:div>
                        <w:div w:id="1092626708">
                          <w:marLeft w:val="0"/>
                          <w:marRight w:val="0"/>
                          <w:marTop w:val="0"/>
                          <w:marBottom w:val="0"/>
                          <w:divBdr>
                            <w:top w:val="none" w:sz="0" w:space="0" w:color="auto"/>
                            <w:left w:val="none" w:sz="0" w:space="0" w:color="auto"/>
                            <w:bottom w:val="none" w:sz="0" w:space="0" w:color="auto"/>
                            <w:right w:val="none" w:sz="0" w:space="0" w:color="auto"/>
                          </w:divBdr>
                        </w:div>
                        <w:div w:id="1254507181">
                          <w:marLeft w:val="0"/>
                          <w:marRight w:val="0"/>
                          <w:marTop w:val="0"/>
                          <w:marBottom w:val="0"/>
                          <w:divBdr>
                            <w:top w:val="none" w:sz="0" w:space="0" w:color="auto"/>
                            <w:left w:val="none" w:sz="0" w:space="0" w:color="auto"/>
                            <w:bottom w:val="none" w:sz="0" w:space="0" w:color="auto"/>
                            <w:right w:val="none" w:sz="0" w:space="0" w:color="auto"/>
                          </w:divBdr>
                          <w:divsChild>
                            <w:div w:id="567686386">
                              <w:marLeft w:val="0"/>
                              <w:marRight w:val="0"/>
                              <w:marTop w:val="0"/>
                              <w:marBottom w:val="0"/>
                              <w:divBdr>
                                <w:top w:val="none" w:sz="0" w:space="0" w:color="auto"/>
                                <w:left w:val="none" w:sz="0" w:space="0" w:color="auto"/>
                                <w:bottom w:val="none" w:sz="0" w:space="0" w:color="auto"/>
                                <w:right w:val="none" w:sz="0" w:space="0" w:color="auto"/>
                              </w:divBdr>
                            </w:div>
                            <w:div w:id="2095123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374699">
                          <w:marLeft w:val="0"/>
                          <w:marRight w:val="0"/>
                          <w:marTop w:val="0"/>
                          <w:marBottom w:val="0"/>
                          <w:divBdr>
                            <w:top w:val="none" w:sz="0" w:space="0" w:color="auto"/>
                            <w:left w:val="none" w:sz="0" w:space="0" w:color="auto"/>
                            <w:bottom w:val="none" w:sz="0" w:space="0" w:color="auto"/>
                            <w:right w:val="none" w:sz="0" w:space="0" w:color="auto"/>
                          </w:divBdr>
                        </w:div>
                        <w:div w:id="1402410097">
                          <w:marLeft w:val="0"/>
                          <w:marRight w:val="0"/>
                          <w:marTop w:val="0"/>
                          <w:marBottom w:val="0"/>
                          <w:divBdr>
                            <w:top w:val="none" w:sz="0" w:space="0" w:color="auto"/>
                            <w:left w:val="none" w:sz="0" w:space="0" w:color="auto"/>
                            <w:bottom w:val="none" w:sz="0" w:space="0" w:color="auto"/>
                            <w:right w:val="none" w:sz="0" w:space="0" w:color="auto"/>
                          </w:divBdr>
                        </w:div>
                        <w:div w:id="1571891332">
                          <w:marLeft w:val="0"/>
                          <w:marRight w:val="0"/>
                          <w:marTop w:val="0"/>
                          <w:marBottom w:val="0"/>
                          <w:divBdr>
                            <w:top w:val="none" w:sz="0" w:space="0" w:color="auto"/>
                            <w:left w:val="none" w:sz="0" w:space="0" w:color="auto"/>
                            <w:bottom w:val="none" w:sz="0" w:space="0" w:color="auto"/>
                            <w:right w:val="none" w:sz="0" w:space="0" w:color="auto"/>
                          </w:divBdr>
                          <w:divsChild>
                            <w:div w:id="1642692599">
                              <w:marLeft w:val="0"/>
                              <w:marRight w:val="0"/>
                              <w:marTop w:val="0"/>
                              <w:marBottom w:val="0"/>
                              <w:divBdr>
                                <w:top w:val="none" w:sz="0" w:space="0" w:color="auto"/>
                                <w:left w:val="none" w:sz="0" w:space="0" w:color="auto"/>
                                <w:bottom w:val="none" w:sz="0" w:space="0" w:color="auto"/>
                                <w:right w:val="none" w:sz="0" w:space="0" w:color="auto"/>
                              </w:divBdr>
                              <w:divsChild>
                                <w:div w:id="1569151325">
                                  <w:marLeft w:val="0"/>
                                  <w:marRight w:val="0"/>
                                  <w:marTop w:val="0"/>
                                  <w:marBottom w:val="0"/>
                                  <w:divBdr>
                                    <w:top w:val="none" w:sz="0" w:space="0" w:color="auto"/>
                                    <w:left w:val="none" w:sz="0" w:space="0" w:color="auto"/>
                                    <w:bottom w:val="none" w:sz="0" w:space="0" w:color="auto"/>
                                    <w:right w:val="none" w:sz="0" w:space="0" w:color="auto"/>
                                  </w:divBdr>
                                  <w:divsChild>
                                    <w:div w:id="440153651">
                                      <w:marLeft w:val="0"/>
                                      <w:marRight w:val="0"/>
                                      <w:marTop w:val="0"/>
                                      <w:marBottom w:val="0"/>
                                      <w:divBdr>
                                        <w:top w:val="none" w:sz="0" w:space="0" w:color="auto"/>
                                        <w:left w:val="none" w:sz="0" w:space="0" w:color="auto"/>
                                        <w:bottom w:val="none" w:sz="0" w:space="0" w:color="auto"/>
                                        <w:right w:val="none" w:sz="0" w:space="0" w:color="auto"/>
                                      </w:divBdr>
                                      <w:divsChild>
                                        <w:div w:id="1486777379">
                                          <w:marLeft w:val="0"/>
                                          <w:marRight w:val="0"/>
                                          <w:marTop w:val="0"/>
                                          <w:marBottom w:val="0"/>
                                          <w:divBdr>
                                            <w:top w:val="none" w:sz="0" w:space="0" w:color="auto"/>
                                            <w:left w:val="none" w:sz="0" w:space="0" w:color="auto"/>
                                            <w:bottom w:val="none" w:sz="0" w:space="0" w:color="auto"/>
                                            <w:right w:val="none" w:sz="0" w:space="0" w:color="auto"/>
                                          </w:divBdr>
                                          <w:divsChild>
                                            <w:div w:id="810371173">
                                              <w:marLeft w:val="0"/>
                                              <w:marRight w:val="0"/>
                                              <w:marTop w:val="0"/>
                                              <w:marBottom w:val="0"/>
                                              <w:divBdr>
                                                <w:top w:val="none" w:sz="0" w:space="0" w:color="auto"/>
                                                <w:left w:val="none" w:sz="0" w:space="0" w:color="auto"/>
                                                <w:bottom w:val="none" w:sz="0" w:space="0" w:color="auto"/>
                                                <w:right w:val="none" w:sz="0" w:space="0" w:color="auto"/>
                                              </w:divBdr>
                                              <w:divsChild>
                                                <w:div w:id="562059070">
                                                  <w:marLeft w:val="0"/>
                                                  <w:marRight w:val="0"/>
                                                  <w:marTop w:val="0"/>
                                                  <w:marBottom w:val="0"/>
                                                  <w:divBdr>
                                                    <w:top w:val="none" w:sz="0" w:space="0" w:color="auto"/>
                                                    <w:left w:val="none" w:sz="0" w:space="0" w:color="auto"/>
                                                    <w:bottom w:val="none" w:sz="0" w:space="0" w:color="auto"/>
                                                    <w:right w:val="none" w:sz="0" w:space="0" w:color="auto"/>
                                                  </w:divBdr>
                                                  <w:divsChild>
                                                    <w:div w:id="1084450017">
                                                      <w:marLeft w:val="0"/>
                                                      <w:marRight w:val="0"/>
                                                      <w:marTop w:val="0"/>
                                                      <w:marBottom w:val="0"/>
                                                      <w:divBdr>
                                                        <w:top w:val="none" w:sz="0" w:space="0" w:color="auto"/>
                                                        <w:left w:val="none" w:sz="0" w:space="0" w:color="auto"/>
                                                        <w:bottom w:val="none" w:sz="0" w:space="0" w:color="auto"/>
                                                        <w:right w:val="none" w:sz="0" w:space="0" w:color="auto"/>
                                                      </w:divBdr>
                                                      <w:divsChild>
                                                        <w:div w:id="1831172430">
                                                          <w:marLeft w:val="0"/>
                                                          <w:marRight w:val="0"/>
                                                          <w:marTop w:val="0"/>
                                                          <w:marBottom w:val="0"/>
                                                          <w:divBdr>
                                                            <w:top w:val="none" w:sz="0" w:space="0" w:color="auto"/>
                                                            <w:left w:val="none" w:sz="0" w:space="0" w:color="auto"/>
                                                            <w:bottom w:val="none" w:sz="0" w:space="0" w:color="auto"/>
                                                            <w:right w:val="none" w:sz="0" w:space="0" w:color="auto"/>
                                                          </w:divBdr>
                                                          <w:divsChild>
                                                            <w:div w:id="18585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11126">
                                                  <w:marLeft w:val="0"/>
                                                  <w:marRight w:val="0"/>
                                                  <w:marTop w:val="0"/>
                                                  <w:marBottom w:val="0"/>
                                                  <w:divBdr>
                                                    <w:top w:val="none" w:sz="0" w:space="0" w:color="auto"/>
                                                    <w:left w:val="none" w:sz="0" w:space="0" w:color="auto"/>
                                                    <w:bottom w:val="none" w:sz="0" w:space="0" w:color="auto"/>
                                                    <w:right w:val="none" w:sz="0" w:space="0" w:color="auto"/>
                                                  </w:divBdr>
                                                  <w:divsChild>
                                                    <w:div w:id="12672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85372">
                          <w:marLeft w:val="0"/>
                          <w:marRight w:val="0"/>
                          <w:marTop w:val="0"/>
                          <w:marBottom w:val="0"/>
                          <w:divBdr>
                            <w:top w:val="none" w:sz="0" w:space="0" w:color="auto"/>
                            <w:left w:val="none" w:sz="0" w:space="0" w:color="auto"/>
                            <w:bottom w:val="none" w:sz="0" w:space="0" w:color="auto"/>
                            <w:right w:val="none" w:sz="0" w:space="0" w:color="auto"/>
                          </w:divBdr>
                        </w:div>
                        <w:div w:id="1633054553">
                          <w:marLeft w:val="0"/>
                          <w:marRight w:val="0"/>
                          <w:marTop w:val="0"/>
                          <w:marBottom w:val="0"/>
                          <w:divBdr>
                            <w:top w:val="none" w:sz="0" w:space="0" w:color="auto"/>
                            <w:left w:val="none" w:sz="0" w:space="0" w:color="auto"/>
                            <w:bottom w:val="none" w:sz="0" w:space="0" w:color="auto"/>
                            <w:right w:val="none" w:sz="0" w:space="0" w:color="auto"/>
                          </w:divBdr>
                        </w:div>
                        <w:div w:id="2096391344">
                          <w:marLeft w:val="0"/>
                          <w:marRight w:val="0"/>
                          <w:marTop w:val="0"/>
                          <w:marBottom w:val="0"/>
                          <w:divBdr>
                            <w:top w:val="none" w:sz="0" w:space="0" w:color="auto"/>
                            <w:left w:val="none" w:sz="0" w:space="0" w:color="auto"/>
                            <w:bottom w:val="none" w:sz="0" w:space="0" w:color="auto"/>
                            <w:right w:val="none" w:sz="0" w:space="0" w:color="auto"/>
                          </w:divBdr>
                          <w:divsChild>
                            <w:div w:id="124084754">
                              <w:marLeft w:val="0"/>
                              <w:marRight w:val="0"/>
                              <w:marTop w:val="0"/>
                              <w:marBottom w:val="0"/>
                              <w:divBdr>
                                <w:top w:val="none" w:sz="0" w:space="0" w:color="auto"/>
                                <w:left w:val="none" w:sz="0" w:space="0" w:color="auto"/>
                                <w:bottom w:val="none" w:sz="0" w:space="0" w:color="auto"/>
                                <w:right w:val="none" w:sz="0" w:space="0" w:color="auto"/>
                              </w:divBdr>
                              <w:divsChild>
                                <w:div w:id="429470684">
                                  <w:marLeft w:val="0"/>
                                  <w:marRight w:val="0"/>
                                  <w:marTop w:val="0"/>
                                  <w:marBottom w:val="0"/>
                                  <w:divBdr>
                                    <w:top w:val="none" w:sz="0" w:space="0" w:color="auto"/>
                                    <w:left w:val="none" w:sz="0" w:space="0" w:color="auto"/>
                                    <w:bottom w:val="none" w:sz="0" w:space="0" w:color="auto"/>
                                    <w:right w:val="none" w:sz="0" w:space="0" w:color="auto"/>
                                  </w:divBdr>
                                  <w:divsChild>
                                    <w:div w:id="1806847205">
                                      <w:marLeft w:val="0"/>
                                      <w:marRight w:val="0"/>
                                      <w:marTop w:val="0"/>
                                      <w:marBottom w:val="0"/>
                                      <w:divBdr>
                                        <w:top w:val="none" w:sz="0" w:space="0" w:color="auto"/>
                                        <w:left w:val="none" w:sz="0" w:space="0" w:color="auto"/>
                                        <w:bottom w:val="none" w:sz="0" w:space="0" w:color="auto"/>
                                        <w:right w:val="none" w:sz="0" w:space="0" w:color="auto"/>
                                      </w:divBdr>
                                      <w:divsChild>
                                        <w:div w:id="923148616">
                                          <w:marLeft w:val="0"/>
                                          <w:marRight w:val="0"/>
                                          <w:marTop w:val="0"/>
                                          <w:marBottom w:val="0"/>
                                          <w:divBdr>
                                            <w:top w:val="none" w:sz="0" w:space="0" w:color="auto"/>
                                            <w:left w:val="none" w:sz="0" w:space="0" w:color="auto"/>
                                            <w:bottom w:val="none" w:sz="0" w:space="0" w:color="auto"/>
                                            <w:right w:val="none" w:sz="0" w:space="0" w:color="auto"/>
                                          </w:divBdr>
                                          <w:divsChild>
                                            <w:div w:id="1974557697">
                                              <w:marLeft w:val="0"/>
                                              <w:marRight w:val="0"/>
                                              <w:marTop w:val="0"/>
                                              <w:marBottom w:val="0"/>
                                              <w:divBdr>
                                                <w:top w:val="none" w:sz="0" w:space="0" w:color="auto"/>
                                                <w:left w:val="none" w:sz="0" w:space="0" w:color="auto"/>
                                                <w:bottom w:val="none" w:sz="0" w:space="0" w:color="auto"/>
                                                <w:right w:val="none" w:sz="0" w:space="0" w:color="auto"/>
                                              </w:divBdr>
                                              <w:divsChild>
                                                <w:div w:id="180555060">
                                                  <w:marLeft w:val="0"/>
                                                  <w:marRight w:val="0"/>
                                                  <w:marTop w:val="0"/>
                                                  <w:marBottom w:val="0"/>
                                                  <w:divBdr>
                                                    <w:top w:val="none" w:sz="0" w:space="0" w:color="auto"/>
                                                    <w:left w:val="none" w:sz="0" w:space="0" w:color="auto"/>
                                                    <w:bottom w:val="none" w:sz="0" w:space="0" w:color="auto"/>
                                                    <w:right w:val="none" w:sz="0" w:space="0" w:color="auto"/>
                                                  </w:divBdr>
                                                  <w:divsChild>
                                                    <w:div w:id="546946">
                                                      <w:marLeft w:val="0"/>
                                                      <w:marRight w:val="0"/>
                                                      <w:marTop w:val="0"/>
                                                      <w:marBottom w:val="0"/>
                                                      <w:divBdr>
                                                        <w:top w:val="none" w:sz="0" w:space="0" w:color="auto"/>
                                                        <w:left w:val="none" w:sz="0" w:space="0" w:color="auto"/>
                                                        <w:bottom w:val="none" w:sz="0" w:space="0" w:color="auto"/>
                                                        <w:right w:val="none" w:sz="0" w:space="0" w:color="auto"/>
                                                      </w:divBdr>
                                                      <w:divsChild>
                                                        <w:div w:id="1582835344">
                                                          <w:marLeft w:val="0"/>
                                                          <w:marRight w:val="0"/>
                                                          <w:marTop w:val="0"/>
                                                          <w:marBottom w:val="0"/>
                                                          <w:divBdr>
                                                            <w:top w:val="none" w:sz="0" w:space="0" w:color="auto"/>
                                                            <w:left w:val="none" w:sz="0" w:space="0" w:color="auto"/>
                                                            <w:bottom w:val="none" w:sz="0" w:space="0" w:color="auto"/>
                                                            <w:right w:val="none" w:sz="0" w:space="0" w:color="auto"/>
                                                          </w:divBdr>
                                                          <w:divsChild>
                                                            <w:div w:id="6895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3000">
                                                  <w:marLeft w:val="0"/>
                                                  <w:marRight w:val="0"/>
                                                  <w:marTop w:val="0"/>
                                                  <w:marBottom w:val="0"/>
                                                  <w:divBdr>
                                                    <w:top w:val="none" w:sz="0" w:space="0" w:color="auto"/>
                                                    <w:left w:val="none" w:sz="0" w:space="0" w:color="auto"/>
                                                    <w:bottom w:val="none" w:sz="0" w:space="0" w:color="auto"/>
                                                    <w:right w:val="none" w:sz="0" w:space="0" w:color="auto"/>
                                                  </w:divBdr>
                                                  <w:divsChild>
                                                    <w:div w:id="13418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279461">
          <w:marLeft w:val="0"/>
          <w:marRight w:val="0"/>
          <w:marTop w:val="0"/>
          <w:marBottom w:val="0"/>
          <w:divBdr>
            <w:top w:val="none" w:sz="0" w:space="0" w:color="auto"/>
            <w:left w:val="none" w:sz="0" w:space="0" w:color="auto"/>
            <w:bottom w:val="none" w:sz="0" w:space="0" w:color="auto"/>
            <w:right w:val="none" w:sz="0" w:space="0" w:color="auto"/>
          </w:divBdr>
        </w:div>
      </w:divsChild>
    </w:div>
    <w:div w:id="708802519">
      <w:bodyDiv w:val="1"/>
      <w:marLeft w:val="0"/>
      <w:marRight w:val="0"/>
      <w:marTop w:val="0"/>
      <w:marBottom w:val="0"/>
      <w:divBdr>
        <w:top w:val="none" w:sz="0" w:space="0" w:color="auto"/>
        <w:left w:val="none" w:sz="0" w:space="0" w:color="auto"/>
        <w:bottom w:val="none" w:sz="0" w:space="0" w:color="auto"/>
        <w:right w:val="none" w:sz="0" w:space="0" w:color="auto"/>
      </w:divBdr>
    </w:div>
    <w:div w:id="750273283">
      <w:bodyDiv w:val="1"/>
      <w:marLeft w:val="0"/>
      <w:marRight w:val="0"/>
      <w:marTop w:val="0"/>
      <w:marBottom w:val="0"/>
      <w:divBdr>
        <w:top w:val="none" w:sz="0" w:space="0" w:color="auto"/>
        <w:left w:val="none" w:sz="0" w:space="0" w:color="auto"/>
        <w:bottom w:val="none" w:sz="0" w:space="0" w:color="auto"/>
        <w:right w:val="none" w:sz="0" w:space="0" w:color="auto"/>
      </w:divBdr>
    </w:div>
    <w:div w:id="793793634">
      <w:bodyDiv w:val="1"/>
      <w:marLeft w:val="0"/>
      <w:marRight w:val="0"/>
      <w:marTop w:val="0"/>
      <w:marBottom w:val="0"/>
      <w:divBdr>
        <w:top w:val="none" w:sz="0" w:space="0" w:color="auto"/>
        <w:left w:val="none" w:sz="0" w:space="0" w:color="auto"/>
        <w:bottom w:val="none" w:sz="0" w:space="0" w:color="auto"/>
        <w:right w:val="none" w:sz="0" w:space="0" w:color="auto"/>
      </w:divBdr>
    </w:div>
    <w:div w:id="804347470">
      <w:bodyDiv w:val="1"/>
      <w:marLeft w:val="0"/>
      <w:marRight w:val="0"/>
      <w:marTop w:val="0"/>
      <w:marBottom w:val="0"/>
      <w:divBdr>
        <w:top w:val="none" w:sz="0" w:space="0" w:color="auto"/>
        <w:left w:val="none" w:sz="0" w:space="0" w:color="auto"/>
        <w:bottom w:val="none" w:sz="0" w:space="0" w:color="auto"/>
        <w:right w:val="none" w:sz="0" w:space="0" w:color="auto"/>
      </w:divBdr>
      <w:divsChild>
        <w:div w:id="424961576">
          <w:marLeft w:val="0"/>
          <w:marRight w:val="0"/>
          <w:marTop w:val="0"/>
          <w:marBottom w:val="0"/>
          <w:divBdr>
            <w:top w:val="none" w:sz="0" w:space="0" w:color="auto"/>
            <w:left w:val="none" w:sz="0" w:space="0" w:color="auto"/>
            <w:bottom w:val="none" w:sz="0" w:space="0" w:color="auto"/>
            <w:right w:val="none" w:sz="0" w:space="0" w:color="auto"/>
          </w:divBdr>
        </w:div>
      </w:divsChild>
    </w:div>
    <w:div w:id="867524458">
      <w:bodyDiv w:val="1"/>
      <w:marLeft w:val="0"/>
      <w:marRight w:val="0"/>
      <w:marTop w:val="0"/>
      <w:marBottom w:val="0"/>
      <w:divBdr>
        <w:top w:val="none" w:sz="0" w:space="0" w:color="auto"/>
        <w:left w:val="none" w:sz="0" w:space="0" w:color="auto"/>
        <w:bottom w:val="none" w:sz="0" w:space="0" w:color="auto"/>
        <w:right w:val="none" w:sz="0" w:space="0" w:color="auto"/>
      </w:divBdr>
    </w:div>
    <w:div w:id="947353466">
      <w:bodyDiv w:val="1"/>
      <w:marLeft w:val="0"/>
      <w:marRight w:val="0"/>
      <w:marTop w:val="0"/>
      <w:marBottom w:val="0"/>
      <w:divBdr>
        <w:top w:val="none" w:sz="0" w:space="0" w:color="auto"/>
        <w:left w:val="none" w:sz="0" w:space="0" w:color="auto"/>
        <w:bottom w:val="none" w:sz="0" w:space="0" w:color="auto"/>
        <w:right w:val="none" w:sz="0" w:space="0" w:color="auto"/>
      </w:divBdr>
    </w:div>
    <w:div w:id="954675388">
      <w:bodyDiv w:val="1"/>
      <w:marLeft w:val="0"/>
      <w:marRight w:val="0"/>
      <w:marTop w:val="0"/>
      <w:marBottom w:val="0"/>
      <w:divBdr>
        <w:top w:val="none" w:sz="0" w:space="0" w:color="auto"/>
        <w:left w:val="none" w:sz="0" w:space="0" w:color="auto"/>
        <w:bottom w:val="none" w:sz="0" w:space="0" w:color="auto"/>
        <w:right w:val="none" w:sz="0" w:space="0" w:color="auto"/>
      </w:divBdr>
    </w:div>
    <w:div w:id="1009405447">
      <w:bodyDiv w:val="1"/>
      <w:marLeft w:val="0"/>
      <w:marRight w:val="0"/>
      <w:marTop w:val="0"/>
      <w:marBottom w:val="0"/>
      <w:divBdr>
        <w:top w:val="none" w:sz="0" w:space="0" w:color="auto"/>
        <w:left w:val="none" w:sz="0" w:space="0" w:color="auto"/>
        <w:bottom w:val="none" w:sz="0" w:space="0" w:color="auto"/>
        <w:right w:val="none" w:sz="0" w:space="0" w:color="auto"/>
      </w:divBdr>
    </w:div>
    <w:div w:id="1024553403">
      <w:bodyDiv w:val="1"/>
      <w:marLeft w:val="0"/>
      <w:marRight w:val="0"/>
      <w:marTop w:val="0"/>
      <w:marBottom w:val="0"/>
      <w:divBdr>
        <w:top w:val="none" w:sz="0" w:space="0" w:color="auto"/>
        <w:left w:val="none" w:sz="0" w:space="0" w:color="auto"/>
        <w:bottom w:val="none" w:sz="0" w:space="0" w:color="auto"/>
        <w:right w:val="none" w:sz="0" w:space="0" w:color="auto"/>
      </w:divBdr>
    </w:div>
    <w:div w:id="1062677286">
      <w:bodyDiv w:val="1"/>
      <w:marLeft w:val="0"/>
      <w:marRight w:val="0"/>
      <w:marTop w:val="0"/>
      <w:marBottom w:val="0"/>
      <w:divBdr>
        <w:top w:val="none" w:sz="0" w:space="0" w:color="auto"/>
        <w:left w:val="none" w:sz="0" w:space="0" w:color="auto"/>
        <w:bottom w:val="none" w:sz="0" w:space="0" w:color="auto"/>
        <w:right w:val="none" w:sz="0" w:space="0" w:color="auto"/>
      </w:divBdr>
    </w:div>
    <w:div w:id="1200124731">
      <w:bodyDiv w:val="1"/>
      <w:marLeft w:val="0"/>
      <w:marRight w:val="0"/>
      <w:marTop w:val="0"/>
      <w:marBottom w:val="0"/>
      <w:divBdr>
        <w:top w:val="none" w:sz="0" w:space="0" w:color="auto"/>
        <w:left w:val="none" w:sz="0" w:space="0" w:color="auto"/>
        <w:bottom w:val="none" w:sz="0" w:space="0" w:color="auto"/>
        <w:right w:val="none" w:sz="0" w:space="0" w:color="auto"/>
      </w:divBdr>
    </w:div>
    <w:div w:id="1202017498">
      <w:bodyDiv w:val="1"/>
      <w:marLeft w:val="0"/>
      <w:marRight w:val="0"/>
      <w:marTop w:val="0"/>
      <w:marBottom w:val="0"/>
      <w:divBdr>
        <w:top w:val="none" w:sz="0" w:space="0" w:color="auto"/>
        <w:left w:val="none" w:sz="0" w:space="0" w:color="auto"/>
        <w:bottom w:val="none" w:sz="0" w:space="0" w:color="auto"/>
        <w:right w:val="none" w:sz="0" w:space="0" w:color="auto"/>
      </w:divBdr>
      <w:divsChild>
        <w:div w:id="1776050278">
          <w:marLeft w:val="0"/>
          <w:marRight w:val="0"/>
          <w:marTop w:val="0"/>
          <w:marBottom w:val="0"/>
          <w:divBdr>
            <w:top w:val="none" w:sz="0" w:space="0" w:color="auto"/>
            <w:left w:val="none" w:sz="0" w:space="0" w:color="auto"/>
            <w:bottom w:val="none" w:sz="0" w:space="0" w:color="auto"/>
            <w:right w:val="none" w:sz="0" w:space="0" w:color="auto"/>
          </w:divBdr>
        </w:div>
      </w:divsChild>
    </w:div>
    <w:div w:id="1223252261">
      <w:bodyDiv w:val="1"/>
      <w:marLeft w:val="0"/>
      <w:marRight w:val="0"/>
      <w:marTop w:val="0"/>
      <w:marBottom w:val="0"/>
      <w:divBdr>
        <w:top w:val="none" w:sz="0" w:space="0" w:color="auto"/>
        <w:left w:val="none" w:sz="0" w:space="0" w:color="auto"/>
        <w:bottom w:val="none" w:sz="0" w:space="0" w:color="auto"/>
        <w:right w:val="none" w:sz="0" w:space="0" w:color="auto"/>
      </w:divBdr>
    </w:div>
    <w:div w:id="1244801811">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54820171">
      <w:bodyDiv w:val="1"/>
      <w:marLeft w:val="0"/>
      <w:marRight w:val="0"/>
      <w:marTop w:val="0"/>
      <w:marBottom w:val="0"/>
      <w:divBdr>
        <w:top w:val="none" w:sz="0" w:space="0" w:color="auto"/>
        <w:left w:val="none" w:sz="0" w:space="0" w:color="auto"/>
        <w:bottom w:val="none" w:sz="0" w:space="0" w:color="auto"/>
        <w:right w:val="none" w:sz="0" w:space="0" w:color="auto"/>
      </w:divBdr>
    </w:div>
    <w:div w:id="1264454858">
      <w:bodyDiv w:val="1"/>
      <w:marLeft w:val="0"/>
      <w:marRight w:val="0"/>
      <w:marTop w:val="0"/>
      <w:marBottom w:val="0"/>
      <w:divBdr>
        <w:top w:val="none" w:sz="0" w:space="0" w:color="auto"/>
        <w:left w:val="none" w:sz="0" w:space="0" w:color="auto"/>
        <w:bottom w:val="none" w:sz="0" w:space="0" w:color="auto"/>
        <w:right w:val="none" w:sz="0" w:space="0" w:color="auto"/>
      </w:divBdr>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332837066">
      <w:bodyDiv w:val="1"/>
      <w:marLeft w:val="0"/>
      <w:marRight w:val="0"/>
      <w:marTop w:val="0"/>
      <w:marBottom w:val="0"/>
      <w:divBdr>
        <w:top w:val="none" w:sz="0" w:space="0" w:color="auto"/>
        <w:left w:val="none" w:sz="0" w:space="0" w:color="auto"/>
        <w:bottom w:val="none" w:sz="0" w:space="0" w:color="auto"/>
        <w:right w:val="none" w:sz="0" w:space="0" w:color="auto"/>
      </w:divBdr>
    </w:div>
    <w:div w:id="1337001130">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353189827">
      <w:bodyDiv w:val="1"/>
      <w:marLeft w:val="0"/>
      <w:marRight w:val="0"/>
      <w:marTop w:val="0"/>
      <w:marBottom w:val="0"/>
      <w:divBdr>
        <w:top w:val="none" w:sz="0" w:space="0" w:color="auto"/>
        <w:left w:val="none" w:sz="0" w:space="0" w:color="auto"/>
        <w:bottom w:val="none" w:sz="0" w:space="0" w:color="auto"/>
        <w:right w:val="none" w:sz="0" w:space="0" w:color="auto"/>
      </w:divBdr>
    </w:div>
    <w:div w:id="1371808264">
      <w:bodyDiv w:val="1"/>
      <w:marLeft w:val="0"/>
      <w:marRight w:val="0"/>
      <w:marTop w:val="0"/>
      <w:marBottom w:val="0"/>
      <w:divBdr>
        <w:top w:val="none" w:sz="0" w:space="0" w:color="auto"/>
        <w:left w:val="none" w:sz="0" w:space="0" w:color="auto"/>
        <w:bottom w:val="none" w:sz="0" w:space="0" w:color="auto"/>
        <w:right w:val="none" w:sz="0" w:space="0" w:color="auto"/>
      </w:divBdr>
    </w:div>
    <w:div w:id="1389036522">
      <w:bodyDiv w:val="1"/>
      <w:marLeft w:val="0"/>
      <w:marRight w:val="0"/>
      <w:marTop w:val="0"/>
      <w:marBottom w:val="0"/>
      <w:divBdr>
        <w:top w:val="none" w:sz="0" w:space="0" w:color="auto"/>
        <w:left w:val="none" w:sz="0" w:space="0" w:color="auto"/>
        <w:bottom w:val="none" w:sz="0" w:space="0" w:color="auto"/>
        <w:right w:val="none" w:sz="0" w:space="0" w:color="auto"/>
      </w:divBdr>
    </w:div>
    <w:div w:id="1459449418">
      <w:bodyDiv w:val="1"/>
      <w:marLeft w:val="0"/>
      <w:marRight w:val="0"/>
      <w:marTop w:val="0"/>
      <w:marBottom w:val="0"/>
      <w:divBdr>
        <w:top w:val="none" w:sz="0" w:space="0" w:color="auto"/>
        <w:left w:val="none" w:sz="0" w:space="0" w:color="auto"/>
        <w:bottom w:val="none" w:sz="0" w:space="0" w:color="auto"/>
        <w:right w:val="none" w:sz="0" w:space="0" w:color="auto"/>
      </w:divBdr>
      <w:divsChild>
        <w:div w:id="168908351">
          <w:marLeft w:val="0"/>
          <w:marRight w:val="0"/>
          <w:marTop w:val="0"/>
          <w:marBottom w:val="0"/>
          <w:divBdr>
            <w:top w:val="none" w:sz="0" w:space="0" w:color="auto"/>
            <w:left w:val="none" w:sz="0" w:space="0" w:color="auto"/>
            <w:bottom w:val="none" w:sz="0" w:space="0" w:color="auto"/>
            <w:right w:val="none" w:sz="0" w:space="0" w:color="auto"/>
          </w:divBdr>
        </w:div>
        <w:div w:id="255946784">
          <w:marLeft w:val="0"/>
          <w:marRight w:val="0"/>
          <w:marTop w:val="0"/>
          <w:marBottom w:val="0"/>
          <w:divBdr>
            <w:top w:val="none" w:sz="0" w:space="0" w:color="auto"/>
            <w:left w:val="none" w:sz="0" w:space="0" w:color="auto"/>
            <w:bottom w:val="none" w:sz="0" w:space="0" w:color="auto"/>
            <w:right w:val="none" w:sz="0" w:space="0" w:color="auto"/>
          </w:divBdr>
        </w:div>
        <w:div w:id="657001443">
          <w:marLeft w:val="0"/>
          <w:marRight w:val="0"/>
          <w:marTop w:val="0"/>
          <w:marBottom w:val="0"/>
          <w:divBdr>
            <w:top w:val="none" w:sz="0" w:space="0" w:color="auto"/>
            <w:left w:val="none" w:sz="0" w:space="0" w:color="auto"/>
            <w:bottom w:val="none" w:sz="0" w:space="0" w:color="auto"/>
            <w:right w:val="none" w:sz="0" w:space="0" w:color="auto"/>
          </w:divBdr>
        </w:div>
        <w:div w:id="910696889">
          <w:marLeft w:val="0"/>
          <w:marRight w:val="0"/>
          <w:marTop w:val="0"/>
          <w:marBottom w:val="0"/>
          <w:divBdr>
            <w:top w:val="none" w:sz="0" w:space="0" w:color="auto"/>
            <w:left w:val="none" w:sz="0" w:space="0" w:color="auto"/>
            <w:bottom w:val="none" w:sz="0" w:space="0" w:color="auto"/>
            <w:right w:val="none" w:sz="0" w:space="0" w:color="auto"/>
          </w:divBdr>
        </w:div>
        <w:div w:id="1152020097">
          <w:marLeft w:val="0"/>
          <w:marRight w:val="0"/>
          <w:marTop w:val="0"/>
          <w:marBottom w:val="0"/>
          <w:divBdr>
            <w:top w:val="none" w:sz="0" w:space="0" w:color="auto"/>
            <w:left w:val="none" w:sz="0" w:space="0" w:color="auto"/>
            <w:bottom w:val="none" w:sz="0" w:space="0" w:color="auto"/>
            <w:right w:val="none" w:sz="0" w:space="0" w:color="auto"/>
          </w:divBdr>
        </w:div>
        <w:div w:id="1716584662">
          <w:marLeft w:val="0"/>
          <w:marRight w:val="0"/>
          <w:marTop w:val="0"/>
          <w:marBottom w:val="0"/>
          <w:divBdr>
            <w:top w:val="none" w:sz="0" w:space="0" w:color="auto"/>
            <w:left w:val="none" w:sz="0" w:space="0" w:color="auto"/>
            <w:bottom w:val="none" w:sz="0" w:space="0" w:color="auto"/>
            <w:right w:val="none" w:sz="0" w:space="0" w:color="auto"/>
          </w:divBdr>
        </w:div>
      </w:divsChild>
    </w:div>
    <w:div w:id="1502618083">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608123469">
      <w:bodyDiv w:val="1"/>
      <w:marLeft w:val="0"/>
      <w:marRight w:val="0"/>
      <w:marTop w:val="0"/>
      <w:marBottom w:val="0"/>
      <w:divBdr>
        <w:top w:val="none" w:sz="0" w:space="0" w:color="auto"/>
        <w:left w:val="none" w:sz="0" w:space="0" w:color="auto"/>
        <w:bottom w:val="none" w:sz="0" w:space="0" w:color="auto"/>
        <w:right w:val="none" w:sz="0" w:space="0" w:color="auto"/>
      </w:divBdr>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1699699525">
      <w:bodyDiv w:val="1"/>
      <w:marLeft w:val="0"/>
      <w:marRight w:val="0"/>
      <w:marTop w:val="0"/>
      <w:marBottom w:val="0"/>
      <w:divBdr>
        <w:top w:val="none" w:sz="0" w:space="0" w:color="auto"/>
        <w:left w:val="none" w:sz="0" w:space="0" w:color="auto"/>
        <w:bottom w:val="none" w:sz="0" w:space="0" w:color="auto"/>
        <w:right w:val="none" w:sz="0" w:space="0" w:color="auto"/>
      </w:divBdr>
    </w:div>
    <w:div w:id="1779368267">
      <w:bodyDiv w:val="1"/>
      <w:marLeft w:val="0"/>
      <w:marRight w:val="0"/>
      <w:marTop w:val="0"/>
      <w:marBottom w:val="0"/>
      <w:divBdr>
        <w:top w:val="none" w:sz="0" w:space="0" w:color="auto"/>
        <w:left w:val="none" w:sz="0" w:space="0" w:color="auto"/>
        <w:bottom w:val="none" w:sz="0" w:space="0" w:color="auto"/>
        <w:right w:val="none" w:sz="0" w:space="0" w:color="auto"/>
      </w:divBdr>
    </w:div>
    <w:div w:id="1785466593">
      <w:bodyDiv w:val="1"/>
      <w:marLeft w:val="0"/>
      <w:marRight w:val="0"/>
      <w:marTop w:val="0"/>
      <w:marBottom w:val="0"/>
      <w:divBdr>
        <w:top w:val="none" w:sz="0" w:space="0" w:color="auto"/>
        <w:left w:val="none" w:sz="0" w:space="0" w:color="auto"/>
        <w:bottom w:val="none" w:sz="0" w:space="0" w:color="auto"/>
        <w:right w:val="none" w:sz="0" w:space="0" w:color="auto"/>
      </w:divBdr>
    </w:div>
    <w:div w:id="1811441011">
      <w:bodyDiv w:val="1"/>
      <w:marLeft w:val="0"/>
      <w:marRight w:val="0"/>
      <w:marTop w:val="0"/>
      <w:marBottom w:val="0"/>
      <w:divBdr>
        <w:top w:val="none" w:sz="0" w:space="0" w:color="auto"/>
        <w:left w:val="none" w:sz="0" w:space="0" w:color="auto"/>
        <w:bottom w:val="none" w:sz="0" w:space="0" w:color="auto"/>
        <w:right w:val="none" w:sz="0" w:space="0" w:color="auto"/>
      </w:divBdr>
    </w:div>
    <w:div w:id="1831829366">
      <w:bodyDiv w:val="1"/>
      <w:marLeft w:val="0"/>
      <w:marRight w:val="0"/>
      <w:marTop w:val="0"/>
      <w:marBottom w:val="0"/>
      <w:divBdr>
        <w:top w:val="none" w:sz="0" w:space="0" w:color="auto"/>
        <w:left w:val="none" w:sz="0" w:space="0" w:color="auto"/>
        <w:bottom w:val="none" w:sz="0" w:space="0" w:color="auto"/>
        <w:right w:val="none" w:sz="0" w:space="0" w:color="auto"/>
      </w:divBdr>
    </w:div>
    <w:div w:id="1839732394">
      <w:bodyDiv w:val="1"/>
      <w:marLeft w:val="0"/>
      <w:marRight w:val="0"/>
      <w:marTop w:val="0"/>
      <w:marBottom w:val="0"/>
      <w:divBdr>
        <w:top w:val="none" w:sz="0" w:space="0" w:color="auto"/>
        <w:left w:val="none" w:sz="0" w:space="0" w:color="auto"/>
        <w:bottom w:val="none" w:sz="0" w:space="0" w:color="auto"/>
        <w:right w:val="none" w:sz="0" w:space="0" w:color="auto"/>
      </w:divBdr>
      <w:divsChild>
        <w:div w:id="363948022">
          <w:marLeft w:val="0"/>
          <w:marRight w:val="0"/>
          <w:marTop w:val="0"/>
          <w:marBottom w:val="0"/>
          <w:divBdr>
            <w:top w:val="none" w:sz="0" w:space="0" w:color="auto"/>
            <w:left w:val="none" w:sz="0" w:space="0" w:color="auto"/>
            <w:bottom w:val="none" w:sz="0" w:space="0" w:color="auto"/>
            <w:right w:val="none" w:sz="0" w:space="0" w:color="auto"/>
          </w:divBdr>
        </w:div>
        <w:div w:id="1744451420">
          <w:marLeft w:val="0"/>
          <w:marRight w:val="0"/>
          <w:marTop w:val="0"/>
          <w:marBottom w:val="0"/>
          <w:divBdr>
            <w:top w:val="none" w:sz="0" w:space="0" w:color="auto"/>
            <w:left w:val="none" w:sz="0" w:space="0" w:color="auto"/>
            <w:bottom w:val="none" w:sz="0" w:space="0" w:color="auto"/>
            <w:right w:val="none" w:sz="0" w:space="0" w:color="auto"/>
          </w:divBdr>
        </w:div>
      </w:divsChild>
    </w:div>
    <w:div w:id="1845974074">
      <w:bodyDiv w:val="1"/>
      <w:marLeft w:val="0"/>
      <w:marRight w:val="0"/>
      <w:marTop w:val="0"/>
      <w:marBottom w:val="0"/>
      <w:divBdr>
        <w:top w:val="none" w:sz="0" w:space="0" w:color="auto"/>
        <w:left w:val="none" w:sz="0" w:space="0" w:color="auto"/>
        <w:bottom w:val="none" w:sz="0" w:space="0" w:color="auto"/>
        <w:right w:val="none" w:sz="0" w:space="0" w:color="auto"/>
      </w:divBdr>
    </w:div>
    <w:div w:id="1919748982">
      <w:bodyDiv w:val="1"/>
      <w:marLeft w:val="0"/>
      <w:marRight w:val="0"/>
      <w:marTop w:val="0"/>
      <w:marBottom w:val="0"/>
      <w:divBdr>
        <w:top w:val="none" w:sz="0" w:space="0" w:color="auto"/>
        <w:left w:val="none" w:sz="0" w:space="0" w:color="auto"/>
        <w:bottom w:val="none" w:sz="0" w:space="0" w:color="auto"/>
        <w:right w:val="none" w:sz="0" w:space="0" w:color="auto"/>
      </w:divBdr>
    </w:div>
    <w:div w:id="1944221046">
      <w:bodyDiv w:val="1"/>
      <w:marLeft w:val="0"/>
      <w:marRight w:val="0"/>
      <w:marTop w:val="0"/>
      <w:marBottom w:val="0"/>
      <w:divBdr>
        <w:top w:val="none" w:sz="0" w:space="0" w:color="auto"/>
        <w:left w:val="none" w:sz="0" w:space="0" w:color="auto"/>
        <w:bottom w:val="none" w:sz="0" w:space="0" w:color="auto"/>
        <w:right w:val="none" w:sz="0" w:space="0" w:color="auto"/>
      </w:divBdr>
    </w:div>
    <w:div w:id="1964539163">
      <w:bodyDiv w:val="1"/>
      <w:marLeft w:val="0"/>
      <w:marRight w:val="0"/>
      <w:marTop w:val="0"/>
      <w:marBottom w:val="0"/>
      <w:divBdr>
        <w:top w:val="none" w:sz="0" w:space="0" w:color="auto"/>
        <w:left w:val="none" w:sz="0" w:space="0" w:color="auto"/>
        <w:bottom w:val="none" w:sz="0" w:space="0" w:color="auto"/>
        <w:right w:val="none" w:sz="0" w:space="0" w:color="auto"/>
      </w:divBdr>
    </w:div>
    <w:div w:id="1977566494">
      <w:bodyDiv w:val="1"/>
      <w:marLeft w:val="0"/>
      <w:marRight w:val="0"/>
      <w:marTop w:val="0"/>
      <w:marBottom w:val="0"/>
      <w:divBdr>
        <w:top w:val="none" w:sz="0" w:space="0" w:color="auto"/>
        <w:left w:val="none" w:sz="0" w:space="0" w:color="auto"/>
        <w:bottom w:val="none" w:sz="0" w:space="0" w:color="auto"/>
        <w:right w:val="none" w:sz="0" w:space="0" w:color="auto"/>
      </w:divBdr>
    </w:div>
    <w:div w:id="2109084490">
      <w:bodyDiv w:val="1"/>
      <w:marLeft w:val="0"/>
      <w:marRight w:val="0"/>
      <w:marTop w:val="0"/>
      <w:marBottom w:val="0"/>
      <w:divBdr>
        <w:top w:val="none" w:sz="0" w:space="0" w:color="auto"/>
        <w:left w:val="none" w:sz="0" w:space="0" w:color="auto"/>
        <w:bottom w:val="none" w:sz="0" w:space="0" w:color="auto"/>
        <w:right w:val="none" w:sz="0" w:space="0" w:color="auto"/>
      </w:divBdr>
    </w:div>
    <w:div w:id="2110080082">
      <w:bodyDiv w:val="1"/>
      <w:marLeft w:val="0"/>
      <w:marRight w:val="0"/>
      <w:marTop w:val="0"/>
      <w:marBottom w:val="0"/>
      <w:divBdr>
        <w:top w:val="none" w:sz="0" w:space="0" w:color="auto"/>
        <w:left w:val="none" w:sz="0" w:space="0" w:color="auto"/>
        <w:bottom w:val="none" w:sz="0" w:space="0" w:color="auto"/>
        <w:right w:val="none" w:sz="0" w:space="0" w:color="auto"/>
      </w:divBdr>
    </w:div>
    <w:div w:id="2131702813">
      <w:bodyDiv w:val="1"/>
      <w:marLeft w:val="0"/>
      <w:marRight w:val="0"/>
      <w:marTop w:val="0"/>
      <w:marBottom w:val="0"/>
      <w:divBdr>
        <w:top w:val="none" w:sz="0" w:space="0" w:color="auto"/>
        <w:left w:val="none" w:sz="0" w:space="0" w:color="auto"/>
        <w:bottom w:val="none" w:sz="0" w:space="0" w:color="auto"/>
        <w:right w:val="none" w:sz="0" w:space="0" w:color="auto"/>
      </w:divBdr>
    </w:div>
    <w:div w:id="2134980457">
      <w:bodyDiv w:val="1"/>
      <w:marLeft w:val="0"/>
      <w:marRight w:val="0"/>
      <w:marTop w:val="0"/>
      <w:marBottom w:val="0"/>
      <w:divBdr>
        <w:top w:val="none" w:sz="0" w:space="0" w:color="auto"/>
        <w:left w:val="none" w:sz="0" w:space="0" w:color="auto"/>
        <w:bottom w:val="none" w:sz="0" w:space="0" w:color="auto"/>
        <w:right w:val="none" w:sz="0" w:space="0" w:color="auto"/>
      </w:divBdr>
      <w:divsChild>
        <w:div w:id="158742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restcom.cz" TargetMode="External" Id="rId13" /><Relationship Type="http://schemas.openxmlformats.org/officeDocument/2006/relationships/hyperlink" Target="http://www.cbre.cz/"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kamila.cadkova@crestcom.cz" TargetMode="External" Id="rId12" /><Relationship Type="http://schemas.openxmlformats.org/officeDocument/2006/relationships/hyperlink" Target="https://www.instagram.com/cbre_cz/" TargetMode="External" Id="rId17" /><Relationship Type="http://schemas.openxmlformats.org/officeDocument/2006/relationships/customXml" Target="../customXml/item2.xml" Id="rId2" /><Relationship Type="http://schemas.openxmlformats.org/officeDocument/2006/relationships/hyperlink" Target="https://www.linkedin.com/company/3585825?trk=tyah&amp;trkInfo=clickedVertical%253Acompany%252Cidx%253A1-1-1%252CtarId%253A1431360641868%252Ctas%253Acbre%2520czech%22%20\t%20%22_blank"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enisa.kolarikova@crestcom.cz" TargetMode="External" Id="rId11" /><Relationship Type="http://schemas.openxmlformats.org/officeDocument/2006/relationships/numbering" Target="numbering.xml" Id="rId5" /><Relationship Type="http://schemas.openxmlformats.org/officeDocument/2006/relationships/hyperlink" Target="https://www.facebook.com/pages/CBRE-News/626929170775263?ref=ts&amp;fref=ts"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nata.mrazova@cbre.com" TargetMode="Externa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3D59-0873-42C9-956F-F786181A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BD540-E831-4371-98B5-152F64B03E9A}">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0E2ED8B6-C8B9-492E-BC76-2C95D34B0F11}">
  <ds:schemaRefs>
    <ds:schemaRef ds:uri="http://schemas.microsoft.com/sharepoint/v3/contenttype/forms"/>
  </ds:schemaRefs>
</ds:datastoreItem>
</file>

<file path=customXml/itemProps4.xml><?xml version="1.0" encoding="utf-8"?>
<ds:datastoreItem xmlns:ds="http://schemas.openxmlformats.org/officeDocument/2006/customXml" ds:itemID="{415A12B4-940F-4572-8B0D-0A25BEC7C3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2021_press_release_template</ap:Template>
  <ap:Application>Microsoft Word for the web</ap:Application>
  <ap:DocSecurity>0</ap:DocSecurity>
  <ap:ScaleCrop>false</ap:ScaleCrop>
  <ap:Company>CBRE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Mrazova, Renata @ Prague</dc:creator>
  <keywords/>
  <lastModifiedBy>Denisa Kolaříková</lastModifiedBy>
  <revision>4</revision>
  <dcterms:created xsi:type="dcterms:W3CDTF">2023-05-26T11:10:00.0000000Z</dcterms:created>
  <dcterms:modified xsi:type="dcterms:W3CDTF">2023-05-31T07:37:36.9880737Z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